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52C" w:rsidRDefault="00AB452C">
      <w:pPr>
        <w:pStyle w:val="BodyText"/>
        <w:spacing w:line="240" w:lineRule="auto"/>
        <w:jc w:val="center"/>
        <w:rPr>
          <w:rFonts w:ascii="Times New Roman" w:hAnsi="Times New Roman"/>
        </w:rPr>
      </w:pPr>
    </w:p>
    <w:p w:rsidR="00AB452C" w:rsidRDefault="00AB452C">
      <w:pPr>
        <w:pStyle w:val="BodyText"/>
        <w:spacing w:line="240" w:lineRule="auto"/>
        <w:jc w:val="center"/>
        <w:rPr>
          <w:rFonts w:ascii="Times New Roman" w:hAnsi="Times New Roman"/>
        </w:rPr>
      </w:pPr>
    </w:p>
    <w:p w:rsidR="00EB62EA" w:rsidRPr="00EB62EA" w:rsidRDefault="00EB62EA" w:rsidP="00EB62EA">
      <w:pPr>
        <w:spacing w:line="276" w:lineRule="auto"/>
        <w:jc w:val="both"/>
        <w:rPr>
          <w:rFonts w:ascii="Trebuchet MS" w:eastAsia="Calibri" w:hAnsi="Trebuchet MS" w:cs="Times New Roman"/>
          <w:b/>
          <w:color w:val="auto"/>
          <w:kern w:val="0"/>
          <w:sz w:val="22"/>
          <w:szCs w:val="22"/>
          <w:lang w:val="ro-RO" w:eastAsia="en-US" w:bidi="ar-SA"/>
        </w:rPr>
      </w:pPr>
      <w:r w:rsidRPr="00EB62EA">
        <w:rPr>
          <w:rFonts w:ascii="Trebuchet MS" w:eastAsia="Calibri" w:hAnsi="Trebuchet MS" w:cs="Times New Roman"/>
          <w:b/>
          <w:color w:val="auto"/>
          <w:kern w:val="0"/>
          <w:sz w:val="22"/>
          <w:szCs w:val="22"/>
          <w:lang w:val="ro-RO" w:eastAsia="en-US" w:bidi="ar-SA"/>
        </w:rPr>
        <w:t>FIȘA MĂSURII M7/6B</w:t>
      </w:r>
    </w:p>
    <w:p w:rsidR="00EB62EA" w:rsidRPr="00EB62EA" w:rsidRDefault="00EB62EA" w:rsidP="00EB62EA">
      <w:pPr>
        <w:spacing w:line="276" w:lineRule="auto"/>
        <w:jc w:val="both"/>
        <w:rPr>
          <w:rFonts w:ascii="Trebuchet MS" w:eastAsia="Arial Unicode MS" w:hAnsi="Trebuchet MS" w:cs="Times New Roman"/>
          <w:b/>
          <w:i/>
          <w:color w:val="auto"/>
          <w:kern w:val="0"/>
          <w:sz w:val="22"/>
          <w:szCs w:val="22"/>
          <w:u w:val="single"/>
          <w:lang w:val="ro-RO" w:eastAsia="en-US" w:bidi="ar-SA"/>
        </w:rPr>
      </w:pPr>
      <w:r w:rsidRPr="00EB62EA">
        <w:rPr>
          <w:rFonts w:ascii="Trebuchet MS" w:eastAsia="Calibri" w:hAnsi="Trebuchet MS" w:cs="Times New Roman"/>
          <w:b/>
          <w:color w:val="auto"/>
          <w:kern w:val="0"/>
          <w:sz w:val="22"/>
          <w:szCs w:val="22"/>
          <w:u w:val="single"/>
          <w:lang w:val="ro-RO" w:eastAsia="en-US" w:bidi="ar-SA"/>
        </w:rPr>
        <w:t xml:space="preserve">Denumirea măsurii: </w:t>
      </w:r>
      <w:r w:rsidRPr="00EB62EA">
        <w:rPr>
          <w:rFonts w:ascii="Trebuchet MS" w:eastAsia="Arial Unicode MS" w:hAnsi="Trebuchet MS" w:cs="Times New Roman"/>
          <w:b/>
          <w:color w:val="auto"/>
          <w:kern w:val="0"/>
          <w:sz w:val="22"/>
          <w:szCs w:val="22"/>
          <w:u w:val="single"/>
          <w:lang w:val="ro-RO" w:eastAsia="en-US" w:bidi="ar-SA"/>
        </w:rPr>
        <w:t>C</w:t>
      </w:r>
      <w:r w:rsidRPr="00EB62EA">
        <w:rPr>
          <w:rFonts w:ascii="Trebuchet MS" w:eastAsia="Arial Unicode MS" w:hAnsi="Trebuchet MS" w:cs="Times New Roman"/>
          <w:b/>
          <w:i/>
          <w:color w:val="auto"/>
          <w:kern w:val="0"/>
          <w:sz w:val="22"/>
          <w:szCs w:val="22"/>
          <w:u w:val="single"/>
          <w:lang w:val="ro-RO" w:eastAsia="en-US" w:bidi="ar-SA"/>
        </w:rPr>
        <w:t>REAREA, MODERNIZAREA/ DOTAREA  INFRASTRUCTURII SOCIALE  ȘI INTEGRAREA MINORITĂȚILOR</w:t>
      </w:r>
    </w:p>
    <w:p w:rsidR="00EB62EA" w:rsidRPr="00EB62EA" w:rsidRDefault="00EB62EA" w:rsidP="00EB62EA">
      <w:pPr>
        <w:spacing w:line="276" w:lineRule="auto"/>
        <w:jc w:val="both"/>
        <w:rPr>
          <w:rFonts w:ascii="Trebuchet MS" w:eastAsia="Arial Unicode MS" w:hAnsi="Trebuchet MS" w:cs="Times New Roman"/>
          <w:color w:val="auto"/>
          <w:kern w:val="0"/>
          <w:sz w:val="22"/>
          <w:szCs w:val="22"/>
          <w:lang w:val="ro-RO" w:eastAsia="en-US" w:bidi="ar-SA"/>
        </w:rPr>
      </w:pPr>
      <w:r w:rsidRPr="00EB62EA">
        <w:rPr>
          <w:rFonts w:ascii="Trebuchet MS" w:eastAsia="Arial Unicode MS" w:hAnsi="Trebuchet MS" w:cs="Times New Roman"/>
          <w:color w:val="auto"/>
          <w:kern w:val="0"/>
          <w:sz w:val="22"/>
          <w:szCs w:val="22"/>
          <w:lang w:val="ro-RO" w:eastAsia="en-US" w:bidi="ar-SA"/>
        </w:rPr>
        <w:t>Codul măsurii: M7/6B</w:t>
      </w:r>
    </w:p>
    <w:p w:rsidR="00EB62EA" w:rsidRPr="00EB62EA" w:rsidRDefault="00EB62EA" w:rsidP="00EB62EA">
      <w:pPr>
        <w:spacing w:line="276" w:lineRule="auto"/>
        <w:jc w:val="both"/>
        <w:rPr>
          <w:rFonts w:ascii="Trebuchet MS" w:eastAsia="Arial Unicode MS" w:hAnsi="Trebuchet MS" w:cs="Times New Roman"/>
          <w:color w:val="auto"/>
          <w:kern w:val="0"/>
          <w:sz w:val="22"/>
          <w:szCs w:val="22"/>
          <w:lang w:val="ro-RO" w:eastAsia="en-US" w:bidi="ar-SA"/>
        </w:rPr>
      </w:pPr>
      <w:r w:rsidRPr="00EB62EA">
        <w:rPr>
          <w:rFonts w:ascii="Trebuchet MS" w:eastAsia="Arial Unicode MS" w:hAnsi="Trebuchet MS" w:cs="Times New Roman"/>
          <w:color w:val="auto"/>
          <w:kern w:val="0"/>
          <w:sz w:val="22"/>
          <w:szCs w:val="22"/>
          <w:lang w:val="ro-RO" w:eastAsia="en-US" w:bidi="ar-SA"/>
        </w:rPr>
        <w:t xml:space="preserve">Tipul măsurii: </w:t>
      </w:r>
      <w:r w:rsidRPr="00EB62EA">
        <w:rPr>
          <w:rFonts w:ascii="Trebuchet MS" w:eastAsia="Arial Unicode MS" w:hAnsi="Trebuchet MS" w:cs="Times New Roman"/>
          <w:color w:val="auto"/>
          <w:kern w:val="0"/>
          <w:sz w:val="22"/>
          <w:szCs w:val="22"/>
          <w:shd w:val="clear" w:color="auto" w:fill="262626"/>
          <w:lang w:val="ro-RO" w:eastAsia="en-US" w:bidi="ar-SA"/>
        </w:rPr>
        <w:t>□</w:t>
      </w:r>
      <w:r w:rsidRPr="00EB62EA">
        <w:rPr>
          <w:rFonts w:ascii="Trebuchet MS" w:eastAsia="Arial Unicode MS" w:hAnsi="Trebuchet MS" w:cs="Times New Roman"/>
          <w:color w:val="auto"/>
          <w:kern w:val="0"/>
          <w:sz w:val="22"/>
          <w:szCs w:val="22"/>
          <w:shd w:val="clear" w:color="auto" w:fill="FFFFFF"/>
          <w:lang w:val="ro-RO" w:eastAsia="en-US" w:bidi="ar-SA"/>
        </w:rPr>
        <w:t xml:space="preserve"> </w:t>
      </w:r>
      <w:r w:rsidRPr="00EB62EA">
        <w:rPr>
          <w:rFonts w:ascii="Trebuchet MS" w:eastAsia="Arial Unicode MS" w:hAnsi="Trebuchet MS" w:cs="Times New Roman"/>
          <w:color w:val="auto"/>
          <w:kern w:val="0"/>
          <w:sz w:val="22"/>
          <w:szCs w:val="22"/>
          <w:lang w:val="ro-RO" w:eastAsia="en-US" w:bidi="ar-SA"/>
        </w:rPr>
        <w:t>INVESTIȚII</w:t>
      </w:r>
    </w:p>
    <w:p w:rsidR="00EB62EA" w:rsidRPr="00EB62EA" w:rsidRDefault="00EB62EA" w:rsidP="00EB62EA">
      <w:pPr>
        <w:spacing w:line="276" w:lineRule="auto"/>
        <w:jc w:val="both"/>
        <w:rPr>
          <w:rFonts w:ascii="Trebuchet MS" w:eastAsia="Arial Unicode MS" w:hAnsi="Trebuchet MS" w:cs="Times New Roman"/>
          <w:color w:val="auto"/>
          <w:kern w:val="0"/>
          <w:sz w:val="22"/>
          <w:szCs w:val="22"/>
          <w:lang w:val="ro-RO" w:eastAsia="en-US" w:bidi="ar-SA"/>
        </w:rPr>
      </w:pPr>
      <w:r w:rsidRPr="00EB62EA">
        <w:rPr>
          <w:rFonts w:ascii="Trebuchet MS" w:eastAsia="Arial Unicode MS" w:hAnsi="Trebuchet MS" w:cs="Times New Roman"/>
          <w:color w:val="auto"/>
          <w:kern w:val="0"/>
          <w:sz w:val="22"/>
          <w:szCs w:val="22"/>
          <w:lang w:val="ro-RO" w:eastAsia="en-US" w:bidi="ar-SA"/>
        </w:rPr>
        <w:t xml:space="preserve">                     </w:t>
      </w:r>
      <w:r w:rsidRPr="00EB62EA">
        <w:rPr>
          <w:rFonts w:ascii="Trebuchet MS" w:eastAsia="Arial Unicode MS" w:hAnsi="Trebuchet MS" w:cs="Times New Roman"/>
          <w:color w:val="auto"/>
          <w:kern w:val="0"/>
          <w:sz w:val="22"/>
          <w:szCs w:val="22"/>
          <w:shd w:val="clear" w:color="auto" w:fill="FFFFFF"/>
          <w:lang w:val="ro-RO" w:eastAsia="en-US" w:bidi="ar-SA"/>
        </w:rPr>
        <w:t>□  SERVICII</w:t>
      </w:r>
    </w:p>
    <w:p w:rsidR="00EB62EA" w:rsidRPr="00EB62EA" w:rsidRDefault="00EB62EA" w:rsidP="00EB62EA">
      <w:pPr>
        <w:spacing w:line="276" w:lineRule="auto"/>
        <w:jc w:val="both"/>
        <w:rPr>
          <w:rFonts w:ascii="Trebuchet MS" w:eastAsia="Arial Unicode MS" w:hAnsi="Trebuchet MS" w:cs="Times New Roman"/>
          <w:color w:val="auto"/>
          <w:kern w:val="0"/>
          <w:sz w:val="22"/>
          <w:szCs w:val="22"/>
          <w:lang w:val="ro-RO" w:eastAsia="en-US" w:bidi="ar-SA"/>
        </w:rPr>
      </w:pPr>
      <w:r w:rsidRPr="00EB62EA">
        <w:rPr>
          <w:rFonts w:ascii="Trebuchet MS" w:eastAsia="Arial Unicode MS" w:hAnsi="Trebuchet MS" w:cs="Times New Roman"/>
          <w:color w:val="auto"/>
          <w:kern w:val="0"/>
          <w:sz w:val="22"/>
          <w:szCs w:val="22"/>
          <w:lang w:val="ro-RO" w:eastAsia="en-US" w:bidi="ar-SA"/>
        </w:rPr>
        <w:tab/>
        <w:t xml:space="preserve">          □SPRIJIN FORFETAR</w:t>
      </w:r>
    </w:p>
    <w:p w:rsidR="00EB62EA" w:rsidRPr="00EB62EA" w:rsidRDefault="00EB62EA" w:rsidP="00EB62EA">
      <w:pPr>
        <w:spacing w:line="276" w:lineRule="auto"/>
        <w:jc w:val="both"/>
        <w:rPr>
          <w:rFonts w:ascii="Trebuchet MS" w:eastAsia="Arial Unicode MS" w:hAnsi="Trebuchet MS" w:cs="Times New Roman"/>
          <w:color w:val="auto"/>
          <w:kern w:val="0"/>
          <w:sz w:val="22"/>
          <w:szCs w:val="22"/>
          <w:lang w:val="ro-RO" w:eastAsia="en-US" w:bidi="ar-SA"/>
        </w:rPr>
      </w:pPr>
    </w:p>
    <w:p w:rsidR="00EB62EA" w:rsidRPr="00EB62EA" w:rsidRDefault="00EB62EA" w:rsidP="00EB62EA">
      <w:pPr>
        <w:numPr>
          <w:ilvl w:val="0"/>
          <w:numId w:val="4"/>
        </w:numPr>
        <w:spacing w:after="160" w:line="254" w:lineRule="auto"/>
        <w:contextualSpacing/>
        <w:jc w:val="both"/>
        <w:rPr>
          <w:rFonts w:ascii="Trebuchet MS" w:eastAsia="Arial Unicode MS" w:hAnsi="Trebuchet MS" w:cs="Times New Roman"/>
          <w:b/>
          <w:color w:val="auto"/>
          <w:kern w:val="0"/>
          <w:sz w:val="22"/>
          <w:szCs w:val="22"/>
          <w:lang w:val="ro-RO" w:eastAsia="en-US" w:bidi="ar-SA"/>
        </w:rPr>
      </w:pPr>
      <w:r w:rsidRPr="00EB62EA">
        <w:rPr>
          <w:rFonts w:ascii="Trebuchet MS" w:eastAsia="Arial Unicode MS" w:hAnsi="Trebuchet MS" w:cs="Times New Roman"/>
          <w:b/>
          <w:color w:val="auto"/>
          <w:kern w:val="0"/>
          <w:sz w:val="22"/>
          <w:szCs w:val="22"/>
          <w:lang w:val="ro-RO" w:eastAsia="en-US" w:bidi="ar-SA"/>
        </w:rPr>
        <w:t>Descrierea generală a măsurii, inclusiv a logicii de intervenție a acesteia și a contribuției la prioritățile strategiei, la domeniile de intervenție, la obiectivele transversale și a complementarității cu alte măsuri din SDL</w:t>
      </w:r>
    </w:p>
    <w:p w:rsidR="00EB62EA" w:rsidRPr="00EB62EA" w:rsidRDefault="00EB62EA" w:rsidP="00EB62EA">
      <w:pPr>
        <w:spacing w:line="276" w:lineRule="auto"/>
        <w:ind w:firstLine="567"/>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În teritoriul Valea Șomuzului există numeroase decalaje în ceea ce privește calitatea vieții, în comparație cu mediul urban, în special în legătură cu infrastructura socială. În teritoriul Valea Șomuzului infrastructura socială constă în mare parte din servicii de asistență socială în cadrul primăriilor comunelor. Serviciile de asistență socială din cadrul primăriilor răspund nevoilor cele mai frecvente de asistență socială înregistrate în teritoriu și au la bază în g</w:t>
      </w:r>
      <w:r w:rsidRPr="00EB62EA">
        <w:rPr>
          <w:rFonts w:ascii="Trebuchet MS" w:eastAsia="Calibri" w:hAnsi="Trebuchet MS" w:cs="Times New Roman"/>
          <w:color w:val="000000"/>
          <w:kern w:val="0"/>
          <w:sz w:val="22"/>
          <w:szCs w:val="22"/>
          <w:lang w:val="ro-RO" w:eastAsia="en-US" w:bidi="ar-SA"/>
        </w:rPr>
        <w:t>e</w:t>
      </w:r>
      <w:r w:rsidRPr="00EB62EA">
        <w:rPr>
          <w:rFonts w:ascii="Trebuchet MS" w:eastAsia="Calibri" w:hAnsi="Trebuchet MS" w:cs="Times New Roman"/>
          <w:color w:val="auto"/>
          <w:kern w:val="0"/>
          <w:sz w:val="22"/>
          <w:szCs w:val="22"/>
          <w:lang w:val="ro-RO" w:eastAsia="en-US" w:bidi="ar-SA"/>
        </w:rPr>
        <w:t xml:space="preserve">neral sărăcia sau veniturile foarte mici cu care o familie/persoană sunt nevoite să trăiască. Serviciile din cadrul primăriilor desfășoară activități de anchetă socială, consiliere și acordarea de sprijin financiar categoriilor defavorizate. </w:t>
      </w:r>
    </w:p>
    <w:p w:rsidR="00EB62EA" w:rsidRPr="00EB62EA" w:rsidRDefault="00EB62EA" w:rsidP="00EB62EA">
      <w:pPr>
        <w:spacing w:line="276" w:lineRule="auto"/>
        <w:ind w:firstLine="567"/>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 xml:space="preserve">Existența precum și calitatea infrastructurii sociale este impusă de necesitatea existenței unor spații optime pentru copii, în vederea petrecerii timpului liber sau  de îngrijire a școlarilor în structuri de tip after school. Infrastructura socială în ceea ce privește structuri de tip after school actuală existentă în regiunea Valea Șomuzului nu are capacitatea de a susține un nivel de trai decent.  Nu există facilități suficiente pentru copii de vârstă școlară de tip after school, astfel fiindu-le restricționat accesul la activități educaționale în afara curriculei școlare precum și la activități recreative. Aceste insuficiențe de la nivelul teritoriului contribuie la accentuarea inegalităților de șanse între copii din mediul urban și rural. Pentru a reduce deficitul existent, care creează discrepanțe în ceea ce privește posibilitățile de dezvoltare se impune dezvoltarea infrastructurii sociale care va asigura egalitatea de șanse și evitarea desegregării. Investițiile în infrastructura socială pot contribui și la stoparea fenomenului de depopulare din mediul rural prin reducerea decalajelor existente între sat și oraș. Comunitatea de romi din cadrul teritoriului Valea Șomuzului se confruntă cu probleme de integrare ce conduc la marginalizarea acestei categorii, în special a copiilor. Prin intermediul centrelor de tip after school se urmărește și susținerea copiilor romi, în vederea reducerii abandonului școlar. Conform tabelului ”Populația stabilă după etnie-județe-municipii-orașe-comune-RPL-2011”, în teritoriul GAL Valea Șomuzului există următoarele minorități înregistrate: romi – 25 persoane (comuna Baia, reprezentând un procent de </w:t>
      </w:r>
      <w:r w:rsidRPr="00EB62EA">
        <w:rPr>
          <w:rFonts w:ascii="Trebuchet MS" w:eastAsia="Calibri" w:hAnsi="Trebuchet MS" w:cs="Times New Roman"/>
          <w:color w:val="000000"/>
          <w:kern w:val="0"/>
          <w:sz w:val="22"/>
          <w:szCs w:val="22"/>
          <w:lang w:val="ro-RO" w:eastAsia="en-US" w:bidi="ar-SA"/>
        </w:rPr>
        <w:t>0,07%</w:t>
      </w:r>
      <w:r w:rsidRPr="00EB62EA">
        <w:rPr>
          <w:rFonts w:ascii="Trebuchet MS" w:eastAsia="Calibri" w:hAnsi="Trebuchet MS" w:cs="Times New Roman"/>
          <w:color w:val="auto"/>
          <w:kern w:val="0"/>
          <w:sz w:val="22"/>
          <w:szCs w:val="22"/>
          <w:lang w:val="ro-RO" w:eastAsia="en-US" w:bidi="ar-SA"/>
        </w:rPr>
        <w:t xml:space="preserve">), ucrainieni – 5 persoane (comuna Baia, reprezentând un procent de </w:t>
      </w:r>
      <w:r w:rsidRPr="00EB62EA">
        <w:rPr>
          <w:rFonts w:ascii="Trebuchet MS" w:eastAsia="Calibri" w:hAnsi="Trebuchet MS" w:cs="Times New Roman"/>
          <w:color w:val="000000"/>
          <w:kern w:val="0"/>
          <w:sz w:val="22"/>
          <w:szCs w:val="22"/>
          <w:lang w:val="ro-RO" w:eastAsia="en-US" w:bidi="ar-SA"/>
        </w:rPr>
        <w:t>0,01%</w:t>
      </w:r>
      <w:r w:rsidRPr="00EB62EA">
        <w:rPr>
          <w:rFonts w:ascii="Trebuchet MS" w:eastAsia="Calibri" w:hAnsi="Trebuchet MS" w:cs="Times New Roman"/>
          <w:color w:val="auto"/>
          <w:kern w:val="0"/>
          <w:sz w:val="22"/>
          <w:szCs w:val="22"/>
          <w:lang w:val="ro-RO" w:eastAsia="en-US" w:bidi="ar-SA"/>
        </w:rPr>
        <w:t xml:space="preserve">), </w:t>
      </w:r>
      <w:r w:rsidRPr="00EB62EA">
        <w:rPr>
          <w:rFonts w:ascii="Trebuchet MS" w:eastAsia="Calibri" w:hAnsi="Trebuchet MS" w:cs="Times New Roman"/>
          <w:color w:val="000000"/>
          <w:kern w:val="0"/>
          <w:sz w:val="22"/>
          <w:szCs w:val="22"/>
          <w:lang w:val="ro-RO" w:eastAsia="en-US" w:bidi="ar-SA"/>
        </w:rPr>
        <w:t xml:space="preserve">iar pentru un procent de 2,71% informația despre etnie nu este disponibilă. </w:t>
      </w:r>
      <w:r w:rsidRPr="00EB62EA">
        <w:rPr>
          <w:rFonts w:ascii="Trebuchet MS" w:eastAsia="Calibri" w:hAnsi="Trebuchet MS" w:cs="Times New Roman"/>
          <w:color w:val="auto"/>
          <w:kern w:val="0"/>
          <w:sz w:val="22"/>
          <w:szCs w:val="22"/>
          <w:lang w:val="ro-RO" w:eastAsia="en-US" w:bidi="ar-SA"/>
        </w:rPr>
        <w:t xml:space="preserve"> </w:t>
      </w:r>
    </w:p>
    <w:p w:rsidR="00EB62EA" w:rsidRPr="00EB62EA" w:rsidRDefault="00EB62EA" w:rsidP="00EB62EA">
      <w:pPr>
        <w:spacing w:line="276" w:lineRule="auto"/>
        <w:ind w:firstLine="567"/>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 xml:space="preserve">Sursele de finanțare a investițiilor propuse în cadrul proiectului se vor constitui în conformitate cu legislația în vigoare. Pentru asigurarea sustenabilității proiectelor, beneficiarii pot solicita finanțare prin Axa 5 POCU – Dezvoltarea locală plasată sub responsabilitatea comunității, obiectiv specific 5.2 - Reducerea numărului de persoane aflate în risc de sărăcie și </w:t>
      </w:r>
      <w:r w:rsidRPr="00EB62EA">
        <w:rPr>
          <w:rFonts w:ascii="Trebuchet MS" w:eastAsia="Calibri" w:hAnsi="Trebuchet MS" w:cs="Times New Roman"/>
          <w:color w:val="auto"/>
          <w:kern w:val="0"/>
          <w:sz w:val="22"/>
          <w:szCs w:val="22"/>
          <w:lang w:val="ro-RO" w:eastAsia="en-US" w:bidi="ar-SA"/>
        </w:rPr>
        <w:lastRenderedPageBreak/>
        <w:t xml:space="preserve">excluziune socială din comunitățile marginalizate din zona rurală și orașe cu o populație de până la 20.000 locuitori prin implementarea de măsuri/ operațiuni integrate în contextul mecanismului de DLRC, cu respectarea condițiilor specifice. </w:t>
      </w:r>
    </w:p>
    <w:p w:rsidR="00EB62EA" w:rsidRPr="00EB62EA" w:rsidRDefault="00EB62EA" w:rsidP="00EB62EA">
      <w:pPr>
        <w:spacing w:line="276" w:lineRule="auto"/>
        <w:ind w:firstLine="567"/>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 xml:space="preserve">Proiectele finanțate în cadrul măsurii nu vor fi de tip rezidențial. Proiectele de infrastructură socială vor asigura funcționarea prin operaționalizarea infrastructurilor de către o entitate acreditată ca furnizor de servicii sociale. </w:t>
      </w:r>
    </w:p>
    <w:p w:rsidR="00EB62EA" w:rsidRPr="00EB62EA" w:rsidRDefault="00EB62EA" w:rsidP="00EB62EA">
      <w:pPr>
        <w:spacing w:line="276" w:lineRule="auto"/>
        <w:ind w:firstLine="567"/>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Măsura contribuie la obiectivul de dezvoltare rurală - Obținerea unei dezvoltări teritoriale echilibrate a economiilor și comunităților rurale, inclusiv crearea și menținerea de locuri de muncă, conform Reg. (UE) nr. 1305/2013, art.4.</w:t>
      </w:r>
    </w:p>
    <w:p w:rsidR="00EB62EA" w:rsidRPr="00EB62EA" w:rsidRDefault="00EB62EA" w:rsidP="00EB62EA">
      <w:pPr>
        <w:spacing w:line="276" w:lineRule="auto"/>
        <w:ind w:firstLine="567"/>
        <w:jc w:val="both"/>
        <w:rPr>
          <w:rFonts w:ascii="Trebuchet MS" w:eastAsia="Calibri" w:hAnsi="Trebuchet MS" w:cs="Times New Roman"/>
          <w:b/>
          <w:color w:val="auto"/>
          <w:kern w:val="0"/>
          <w:sz w:val="22"/>
          <w:szCs w:val="22"/>
          <w:lang w:val="ro-RO" w:eastAsia="en-US" w:bidi="ar-SA"/>
        </w:rPr>
      </w:pPr>
      <w:r w:rsidRPr="00EB62EA">
        <w:rPr>
          <w:rFonts w:ascii="Trebuchet MS" w:eastAsia="Calibri" w:hAnsi="Trebuchet MS" w:cs="Times New Roman"/>
          <w:b/>
          <w:color w:val="auto"/>
          <w:kern w:val="0"/>
          <w:sz w:val="22"/>
          <w:szCs w:val="22"/>
          <w:lang w:val="ro-RO" w:eastAsia="en-US" w:bidi="ar-SA"/>
        </w:rPr>
        <w:t>Obiectivele specifice ale măsurii</w:t>
      </w:r>
    </w:p>
    <w:p w:rsidR="00EB62EA" w:rsidRPr="00EB62EA" w:rsidRDefault="00EB62EA" w:rsidP="00EB62EA">
      <w:pPr>
        <w:numPr>
          <w:ilvl w:val="0"/>
          <w:numId w:val="5"/>
        </w:numPr>
        <w:spacing w:after="160" w:line="254" w:lineRule="auto"/>
        <w:contextualSpacing/>
        <w:jc w:val="both"/>
        <w:rPr>
          <w:rFonts w:ascii="Trebuchet MS" w:eastAsia="Calibri" w:hAnsi="Trebuchet MS" w:cs="Times New Roman"/>
          <w:b/>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Crearea/modernizarea/dotarea unor structuri de tip after school</w:t>
      </w:r>
    </w:p>
    <w:p w:rsidR="00EB62EA" w:rsidRPr="00EB62EA" w:rsidRDefault="00EB62EA" w:rsidP="00EB62EA">
      <w:pPr>
        <w:numPr>
          <w:ilvl w:val="0"/>
          <w:numId w:val="5"/>
        </w:numPr>
        <w:spacing w:after="160" w:line="254" w:lineRule="auto"/>
        <w:contextualSpacing/>
        <w:jc w:val="both"/>
        <w:rPr>
          <w:rFonts w:ascii="Trebuchet MS" w:eastAsia="Calibri" w:hAnsi="Trebuchet MS" w:cs="Times New Roman"/>
          <w:b/>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Susținerea copiilor, inclusiv a celor care aparțin minorității rome în activitățile extra școlare</w:t>
      </w:r>
    </w:p>
    <w:p w:rsidR="00EB62EA" w:rsidRPr="00EB62EA" w:rsidRDefault="00EB62EA" w:rsidP="00EB62EA">
      <w:pPr>
        <w:widowControl w:val="0"/>
        <w:autoSpaceDE w:val="0"/>
        <w:autoSpaceDN w:val="0"/>
        <w:adjustRightInd w:val="0"/>
        <w:spacing w:line="276" w:lineRule="auto"/>
        <w:ind w:firstLine="567"/>
        <w:jc w:val="both"/>
        <w:rPr>
          <w:rFonts w:ascii="Trebuchet MS" w:eastAsia="Arial Unicode MS"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 xml:space="preserve">Măsura contribuie la prioritățile prevăzute la art. 5, Reg. (UE) nr. 1305/2013 - </w:t>
      </w:r>
      <w:r w:rsidRPr="00EB62EA">
        <w:rPr>
          <w:rFonts w:ascii="Trebuchet MS" w:eastAsia="Arial Unicode MS" w:hAnsi="Trebuchet MS" w:cs="Times New Roman"/>
          <w:color w:val="auto"/>
          <w:kern w:val="0"/>
          <w:sz w:val="22"/>
          <w:szCs w:val="22"/>
          <w:lang w:val="ro-RO" w:eastAsia="en-US" w:bidi="ar-SA"/>
        </w:rPr>
        <w:t xml:space="preserve">P6. Promovarea incluziunii sociale, a reducerii sărăciei și a dezvoltării economice în zonele rurale </w:t>
      </w:r>
    </w:p>
    <w:p w:rsidR="00EB62EA" w:rsidRPr="00EB62EA" w:rsidRDefault="00EB62EA" w:rsidP="00EB62EA">
      <w:pPr>
        <w:spacing w:line="276" w:lineRule="auto"/>
        <w:ind w:firstLine="567"/>
        <w:jc w:val="both"/>
        <w:rPr>
          <w:rFonts w:ascii="Trebuchet MS" w:eastAsia="Calibri" w:hAnsi="Trebuchet MS" w:cs="Times New Roman"/>
          <w:color w:val="auto"/>
          <w:kern w:val="0"/>
          <w:sz w:val="22"/>
          <w:szCs w:val="22"/>
          <w:lang w:val="ro-RO" w:eastAsia="en-US" w:bidi="ar-SA"/>
        </w:rPr>
      </w:pPr>
      <w:r w:rsidRPr="00EB62EA">
        <w:rPr>
          <w:rFonts w:ascii="Trebuchet MS" w:eastAsia="Arial Unicode MS" w:hAnsi="Trebuchet MS" w:cs="Times New Roman"/>
          <w:color w:val="auto"/>
          <w:kern w:val="0"/>
          <w:sz w:val="22"/>
          <w:szCs w:val="22"/>
          <w:lang w:val="ro-RO" w:eastAsia="en-US" w:bidi="ar-SA"/>
        </w:rPr>
        <w:t>Măsura corespunde obiectivelor art.20alin (1), lit (d)– Servicii de bază și reînnoirea satelor în zonele rurale din Reg. (UE)</w:t>
      </w:r>
      <w:r w:rsidRPr="00EB62EA">
        <w:rPr>
          <w:rFonts w:ascii="Trebuchet MS" w:eastAsia="Calibri" w:hAnsi="Trebuchet MS" w:cs="Times New Roman"/>
          <w:color w:val="auto"/>
          <w:kern w:val="0"/>
          <w:sz w:val="22"/>
          <w:szCs w:val="22"/>
          <w:lang w:val="ro-RO" w:eastAsia="en-US" w:bidi="ar-SA"/>
        </w:rPr>
        <w:t xml:space="preserve"> nr. 1305/2013</w:t>
      </w:r>
    </w:p>
    <w:p w:rsidR="00EB62EA" w:rsidRPr="00EB62EA" w:rsidRDefault="00EB62EA" w:rsidP="00EB62EA">
      <w:pPr>
        <w:autoSpaceDE w:val="0"/>
        <w:autoSpaceDN w:val="0"/>
        <w:adjustRightInd w:val="0"/>
        <w:spacing w:line="276" w:lineRule="auto"/>
        <w:ind w:firstLine="567"/>
        <w:jc w:val="both"/>
        <w:rPr>
          <w:rFonts w:ascii="Trebuchet MS" w:eastAsia="Arial Unicode MS"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 xml:space="preserve">Măsura contribuie la Domeniul de intervenție </w:t>
      </w:r>
      <w:r w:rsidRPr="00EB62EA">
        <w:rPr>
          <w:rFonts w:ascii="Trebuchet MS" w:eastAsia="Arial Unicode MS" w:hAnsi="Trebuchet MS" w:cs="Times New Roman"/>
          <w:color w:val="auto"/>
          <w:kern w:val="0"/>
          <w:sz w:val="22"/>
          <w:szCs w:val="22"/>
          <w:lang w:val="ro-RO" w:eastAsia="en-US" w:bidi="ar-SA"/>
        </w:rPr>
        <w:t xml:space="preserve">6B) Încurajarea dezvoltării locale în zonele rurale , prevăzut la art. 5, Reg. (UE)  </w:t>
      </w:r>
      <w:r w:rsidRPr="00EB62EA">
        <w:rPr>
          <w:rFonts w:ascii="Trebuchet MS" w:eastAsia="Calibri" w:hAnsi="Trebuchet MS" w:cs="Times New Roman"/>
          <w:color w:val="auto"/>
          <w:kern w:val="0"/>
          <w:sz w:val="22"/>
          <w:szCs w:val="22"/>
          <w:lang w:val="ro-RO" w:eastAsia="en-US" w:bidi="ar-SA"/>
        </w:rPr>
        <w:t>nr. 1305/2013.</w:t>
      </w:r>
    </w:p>
    <w:p w:rsidR="00EB62EA" w:rsidRPr="00EB62EA" w:rsidRDefault="00EB62EA" w:rsidP="00EB62EA">
      <w:pPr>
        <w:spacing w:line="276" w:lineRule="auto"/>
        <w:ind w:firstLine="567"/>
        <w:jc w:val="both"/>
        <w:rPr>
          <w:rFonts w:ascii="Trebuchet MS" w:eastAsia="Calibri" w:hAnsi="Trebuchet MS" w:cs="Times New Roman"/>
          <w:color w:val="auto"/>
          <w:kern w:val="0"/>
          <w:sz w:val="22"/>
          <w:szCs w:val="22"/>
          <w:lang w:val="ro-RO" w:eastAsia="en-US" w:bidi="ar-SA"/>
        </w:rPr>
      </w:pPr>
      <w:r w:rsidRPr="00EB62EA">
        <w:rPr>
          <w:rFonts w:ascii="Trebuchet MS" w:eastAsia="Arial Unicode MS" w:hAnsi="Trebuchet MS" w:cs="Times New Roman"/>
          <w:color w:val="auto"/>
          <w:kern w:val="0"/>
          <w:sz w:val="22"/>
          <w:szCs w:val="22"/>
          <w:lang w:val="ro-RO" w:eastAsia="en-US" w:bidi="ar-SA"/>
        </w:rPr>
        <w:t xml:space="preserve">Măsura contribuie la obiectivele transversale ale Reg (UE)  </w:t>
      </w:r>
      <w:r w:rsidRPr="00EB62EA">
        <w:rPr>
          <w:rFonts w:ascii="Trebuchet MS" w:eastAsia="Calibri" w:hAnsi="Trebuchet MS" w:cs="Times New Roman"/>
          <w:color w:val="auto"/>
          <w:kern w:val="0"/>
          <w:sz w:val="22"/>
          <w:szCs w:val="22"/>
          <w:lang w:val="ro-RO" w:eastAsia="en-US" w:bidi="ar-SA"/>
        </w:rPr>
        <w:t>nr. 1305/2013: inovare, mediu</w:t>
      </w:r>
    </w:p>
    <w:p w:rsidR="00EB62EA" w:rsidRPr="00EB62EA" w:rsidRDefault="00EB62EA" w:rsidP="00EB62EA">
      <w:pPr>
        <w:spacing w:line="276" w:lineRule="auto"/>
        <w:ind w:firstLine="567"/>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Sprijinul acordat dezvoltării infrastructurii sociale va contribui la creșterea nivelului de trai al populației prin formarea unor generații mai bine pregătite, deschise spre noi oportunități și capabile să aducă inovații și dezvoltare în zonele rurale. Prin proiectele întreprinse se urmărește adoptarea unor soluții de eficiență energetică în scopul reducerii consumului de energie și protejării mediului.</w:t>
      </w:r>
    </w:p>
    <w:p w:rsidR="00EB62EA" w:rsidRPr="00EB62EA" w:rsidRDefault="00EB62EA" w:rsidP="00EB62EA">
      <w:pPr>
        <w:spacing w:line="276" w:lineRule="auto"/>
        <w:jc w:val="both"/>
        <w:rPr>
          <w:rFonts w:ascii="Trebuchet MS" w:eastAsia="Calibri" w:hAnsi="Trebuchet MS" w:cs="Times New Roman"/>
          <w:b/>
          <w:color w:val="auto"/>
          <w:kern w:val="0"/>
          <w:sz w:val="22"/>
          <w:szCs w:val="22"/>
          <w:lang w:val="ro-RO" w:eastAsia="en-US" w:bidi="ar-SA"/>
        </w:rPr>
      </w:pPr>
      <w:r w:rsidRPr="00EB62EA">
        <w:rPr>
          <w:rFonts w:ascii="Trebuchet MS" w:eastAsia="Calibri" w:hAnsi="Trebuchet MS" w:cs="Times New Roman"/>
          <w:b/>
          <w:color w:val="auto"/>
          <w:kern w:val="0"/>
          <w:sz w:val="22"/>
          <w:szCs w:val="22"/>
          <w:lang w:val="ro-RO" w:eastAsia="en-US" w:bidi="ar-SA"/>
        </w:rPr>
        <w:t xml:space="preserve">Complementaritatea cu alte măsuri din SDL: </w:t>
      </w:r>
      <w:r w:rsidRPr="00EB62EA">
        <w:rPr>
          <w:rFonts w:ascii="Trebuchet MS" w:eastAsia="Calibri" w:hAnsi="Trebuchet MS" w:cs="Times New Roman"/>
          <w:color w:val="auto"/>
          <w:kern w:val="0"/>
          <w:sz w:val="22"/>
          <w:szCs w:val="22"/>
          <w:lang w:val="ro-RO" w:eastAsia="en-US" w:bidi="ar-SA"/>
        </w:rPr>
        <w:t>Măsura M7/6B este complementară cu măsurile M8/6B , adresându-se acelorași categorii de beneficiari direcți</w:t>
      </w:r>
    </w:p>
    <w:p w:rsidR="00EB62EA" w:rsidRPr="00EB62EA" w:rsidRDefault="00EB62EA" w:rsidP="00EB62EA">
      <w:pPr>
        <w:spacing w:line="276" w:lineRule="auto"/>
        <w:jc w:val="both"/>
        <w:rPr>
          <w:rFonts w:ascii="Trebuchet MS" w:eastAsia="Arial Unicode MS" w:hAnsi="Trebuchet MS" w:cs="Times New Roman"/>
          <w:color w:val="auto"/>
          <w:kern w:val="0"/>
          <w:sz w:val="22"/>
          <w:szCs w:val="22"/>
          <w:lang w:val="ro-RO" w:eastAsia="en-US" w:bidi="ar-SA"/>
        </w:rPr>
      </w:pPr>
      <w:r w:rsidRPr="00EB62EA">
        <w:rPr>
          <w:rFonts w:ascii="Trebuchet MS" w:eastAsia="Calibri" w:hAnsi="Trebuchet MS" w:cs="Times New Roman"/>
          <w:b/>
          <w:color w:val="auto"/>
          <w:kern w:val="0"/>
          <w:sz w:val="22"/>
          <w:szCs w:val="22"/>
          <w:lang w:val="ro-RO" w:eastAsia="en-US" w:bidi="ar-SA"/>
        </w:rPr>
        <w:t xml:space="preserve">Sinergia cu alte măsuri din SDL: </w:t>
      </w:r>
      <w:r w:rsidRPr="00EB62EA">
        <w:rPr>
          <w:rFonts w:ascii="Trebuchet MS" w:eastAsia="Calibri" w:hAnsi="Trebuchet MS" w:cs="Times New Roman"/>
          <w:color w:val="auto"/>
          <w:kern w:val="0"/>
          <w:sz w:val="22"/>
          <w:szCs w:val="22"/>
          <w:lang w:val="ro-RO" w:eastAsia="en-US" w:bidi="ar-SA"/>
        </w:rPr>
        <w:t xml:space="preserve">Măsura M7/6B contribuie la prioritatea </w:t>
      </w:r>
      <w:r w:rsidRPr="00EB62EA">
        <w:rPr>
          <w:rFonts w:ascii="Trebuchet MS" w:eastAsia="Arial Unicode MS" w:hAnsi="Trebuchet MS" w:cs="Times New Roman"/>
          <w:color w:val="auto"/>
          <w:kern w:val="0"/>
          <w:sz w:val="22"/>
          <w:szCs w:val="22"/>
          <w:lang w:val="ro-RO" w:eastAsia="en-US" w:bidi="ar-SA"/>
        </w:rPr>
        <w:t>P6- Promovarea incluziunii sociale, a reducerii sărăciei și a dezvoltării economice în zonele rurale împreună cu măsurile M6/6A, M8/6B, M10/6C</w:t>
      </w:r>
    </w:p>
    <w:p w:rsidR="00EB62EA" w:rsidRPr="00EB62EA" w:rsidRDefault="00EB62EA" w:rsidP="00EB62EA">
      <w:pPr>
        <w:spacing w:line="276" w:lineRule="auto"/>
        <w:jc w:val="both"/>
        <w:rPr>
          <w:rFonts w:ascii="Trebuchet MS" w:eastAsia="Calibri" w:hAnsi="Trebuchet MS" w:cs="Times New Roman"/>
          <w:b/>
          <w:color w:val="auto"/>
          <w:kern w:val="0"/>
          <w:sz w:val="22"/>
          <w:szCs w:val="22"/>
          <w:lang w:val="ro-RO" w:eastAsia="en-US" w:bidi="ar-SA"/>
        </w:rPr>
      </w:pPr>
    </w:p>
    <w:p w:rsidR="00EB62EA" w:rsidRPr="00EB62EA" w:rsidRDefault="00EB62EA" w:rsidP="00EB62EA">
      <w:pPr>
        <w:spacing w:line="276" w:lineRule="auto"/>
        <w:jc w:val="both"/>
        <w:rPr>
          <w:rFonts w:ascii="Trebuchet MS" w:eastAsia="Calibri" w:hAnsi="Trebuchet MS" w:cs="Times New Roman"/>
          <w:b/>
          <w:color w:val="auto"/>
          <w:kern w:val="0"/>
          <w:sz w:val="22"/>
          <w:szCs w:val="22"/>
          <w:lang w:val="ro-RO" w:eastAsia="en-US" w:bidi="ar-SA"/>
        </w:rPr>
      </w:pPr>
      <w:r w:rsidRPr="00EB62EA">
        <w:rPr>
          <w:rFonts w:ascii="Trebuchet MS" w:eastAsia="Calibri" w:hAnsi="Trebuchet MS" w:cs="Times New Roman"/>
          <w:b/>
          <w:color w:val="auto"/>
          <w:kern w:val="0"/>
          <w:sz w:val="22"/>
          <w:szCs w:val="22"/>
          <w:lang w:val="ro-RO" w:eastAsia="en-US" w:bidi="ar-SA"/>
        </w:rPr>
        <w:t>2. Valoarea adăugată a măsurii</w:t>
      </w:r>
    </w:p>
    <w:p w:rsidR="00EB62EA" w:rsidRPr="00EB62EA" w:rsidRDefault="00EB62EA" w:rsidP="00EB62EA">
      <w:pPr>
        <w:spacing w:line="276" w:lineRule="auto"/>
        <w:ind w:firstLine="567"/>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Dezvoltarea economică și socială durabilă a spațiului rural ce face parte din teritoriul Valea Șomuzului este indispensabil legată de îmbunătățirea infrastructurii rurale existente și a serviciilor de bază. Valoarea adăugată a măsurii este generată de creșterea nivelului de trai al populației, din contribuția pe care o infrastructură socială competitivă o are la formarea unor generații de tineri pregătiți să facă față provocărilor actuale. Măsura contribuie la rezolvarea nevoilor identificate în analiza diagnostic și analiza SWOT, respectiv:</w:t>
      </w:r>
    </w:p>
    <w:p w:rsidR="00EB62EA" w:rsidRPr="00EB62EA" w:rsidRDefault="00EB62EA" w:rsidP="00EB62EA">
      <w:pPr>
        <w:numPr>
          <w:ilvl w:val="0"/>
          <w:numId w:val="5"/>
        </w:numPr>
        <w:spacing w:after="160" w:line="254" w:lineRule="auto"/>
        <w:contextualSpacing/>
        <w:jc w:val="both"/>
        <w:rPr>
          <w:rFonts w:ascii="Trebuchet MS" w:hAnsi="Trebuchet MS" w:cs="Times New Roman"/>
          <w:color w:val="auto"/>
          <w:kern w:val="0"/>
          <w:sz w:val="22"/>
          <w:szCs w:val="22"/>
          <w:lang w:val="ro-RO" w:eastAsia="ja-JP" w:bidi="ar-SA"/>
        </w:rPr>
      </w:pPr>
      <w:r w:rsidRPr="00EB62EA">
        <w:rPr>
          <w:rFonts w:ascii="Trebuchet MS" w:hAnsi="Trebuchet MS" w:cs="Times New Roman"/>
          <w:color w:val="auto"/>
          <w:kern w:val="0"/>
          <w:sz w:val="22"/>
          <w:szCs w:val="22"/>
          <w:lang w:val="ro-RO" w:eastAsia="ja-JP" w:bidi="ar-SA"/>
        </w:rPr>
        <w:t>Inexistența unor facilități de tip after school</w:t>
      </w:r>
    </w:p>
    <w:p w:rsidR="00EB62EA" w:rsidRPr="00EB62EA" w:rsidRDefault="00EB62EA" w:rsidP="00EB62EA">
      <w:pPr>
        <w:numPr>
          <w:ilvl w:val="0"/>
          <w:numId w:val="5"/>
        </w:numPr>
        <w:spacing w:after="160" w:line="254" w:lineRule="auto"/>
        <w:contextualSpacing/>
        <w:jc w:val="both"/>
        <w:rPr>
          <w:rFonts w:ascii="Trebuchet MS" w:hAnsi="Trebuchet MS" w:cs="Times New Roman"/>
          <w:color w:val="auto"/>
          <w:kern w:val="0"/>
          <w:sz w:val="22"/>
          <w:szCs w:val="22"/>
          <w:lang w:val="ro-RO" w:eastAsia="ja-JP" w:bidi="ar-SA"/>
        </w:rPr>
      </w:pPr>
      <w:r w:rsidRPr="00EB62EA">
        <w:rPr>
          <w:rFonts w:ascii="Trebuchet MS" w:hAnsi="Trebuchet MS" w:cs="Times New Roman"/>
          <w:color w:val="auto"/>
          <w:kern w:val="0"/>
          <w:sz w:val="22"/>
          <w:szCs w:val="22"/>
          <w:lang w:val="ro-RO" w:eastAsia="ja-JP" w:bidi="ar-SA"/>
        </w:rPr>
        <w:t>Infrastructura socială și educațională slab dezvoltată;</w:t>
      </w:r>
    </w:p>
    <w:p w:rsidR="00EB62EA" w:rsidRPr="00EB62EA" w:rsidRDefault="00EB62EA" w:rsidP="00EB62EA">
      <w:pPr>
        <w:numPr>
          <w:ilvl w:val="0"/>
          <w:numId w:val="5"/>
        </w:numPr>
        <w:spacing w:after="160" w:line="254" w:lineRule="auto"/>
        <w:contextualSpacing/>
        <w:jc w:val="both"/>
        <w:rPr>
          <w:rFonts w:ascii="Trebuchet MS" w:eastAsia="Calibri" w:hAnsi="Trebuchet MS" w:cs="Times New Roman"/>
          <w:color w:val="auto"/>
          <w:kern w:val="0"/>
          <w:sz w:val="22"/>
          <w:szCs w:val="22"/>
          <w:lang w:val="ro-RO" w:eastAsia="en-US" w:bidi="ar-SA"/>
        </w:rPr>
      </w:pPr>
      <w:r w:rsidRPr="00EB62EA">
        <w:rPr>
          <w:rFonts w:ascii="Trebuchet MS" w:hAnsi="Trebuchet MS" w:cs="Times New Roman"/>
          <w:color w:val="auto"/>
          <w:kern w:val="0"/>
          <w:sz w:val="22"/>
          <w:szCs w:val="22"/>
          <w:lang w:val="ro-RO" w:eastAsia="ja-JP" w:bidi="ar-SA"/>
        </w:rPr>
        <w:t>Nivel scăzut al calității vieții și al confortului populației;</w:t>
      </w:r>
    </w:p>
    <w:p w:rsidR="00EB62EA" w:rsidRPr="00EB62EA" w:rsidRDefault="00EB62EA" w:rsidP="00EB62EA">
      <w:pPr>
        <w:numPr>
          <w:ilvl w:val="0"/>
          <w:numId w:val="5"/>
        </w:numPr>
        <w:spacing w:after="160" w:line="254" w:lineRule="auto"/>
        <w:contextualSpacing/>
        <w:jc w:val="both"/>
        <w:rPr>
          <w:rFonts w:ascii="Trebuchet MS" w:hAnsi="Trebuchet MS" w:cs="Times New Roman"/>
          <w:color w:val="auto"/>
          <w:kern w:val="0"/>
          <w:sz w:val="22"/>
          <w:szCs w:val="22"/>
          <w:lang w:val="ro-RO" w:eastAsia="ja-JP" w:bidi="ar-SA"/>
        </w:rPr>
      </w:pPr>
      <w:r w:rsidRPr="00EB62EA">
        <w:rPr>
          <w:rFonts w:ascii="Trebuchet MS" w:hAnsi="Trebuchet MS" w:cs="Times New Roman"/>
          <w:color w:val="auto"/>
          <w:kern w:val="0"/>
          <w:sz w:val="22"/>
          <w:szCs w:val="22"/>
          <w:lang w:val="ro-RO" w:eastAsia="ja-JP" w:bidi="ar-SA"/>
        </w:rPr>
        <w:t>Capacitate redusă de a asigura servicii sociale pentru toate grupurile vulnerabile</w:t>
      </w:r>
    </w:p>
    <w:p w:rsidR="00EB62EA" w:rsidRPr="00EB62EA" w:rsidRDefault="00EB62EA" w:rsidP="00EB62EA">
      <w:pPr>
        <w:numPr>
          <w:ilvl w:val="0"/>
          <w:numId w:val="5"/>
        </w:numPr>
        <w:spacing w:after="160" w:line="254" w:lineRule="auto"/>
        <w:contextualSpacing/>
        <w:jc w:val="both"/>
        <w:rPr>
          <w:rFonts w:ascii="Trebuchet MS" w:hAnsi="Trebuchet MS" w:cs="Times New Roman"/>
          <w:color w:val="auto"/>
          <w:kern w:val="0"/>
          <w:sz w:val="22"/>
          <w:szCs w:val="22"/>
          <w:lang w:val="ro-RO" w:eastAsia="ja-JP" w:bidi="ar-SA"/>
        </w:rPr>
      </w:pPr>
      <w:r w:rsidRPr="00EB62EA">
        <w:rPr>
          <w:rFonts w:ascii="Trebuchet MS" w:hAnsi="Trebuchet MS" w:cs="Times New Roman"/>
          <w:color w:val="auto"/>
          <w:kern w:val="0"/>
          <w:sz w:val="22"/>
          <w:szCs w:val="22"/>
          <w:lang w:val="ro-RO" w:eastAsia="ja-JP" w:bidi="ar-SA"/>
        </w:rPr>
        <w:t>Rata sărăciei accentuată</w:t>
      </w:r>
    </w:p>
    <w:p w:rsidR="00EB62EA" w:rsidRPr="00EB62EA" w:rsidRDefault="008F224A" w:rsidP="00EB62EA">
      <w:pPr>
        <w:spacing w:line="276" w:lineRule="auto"/>
        <w:jc w:val="both"/>
        <w:rPr>
          <w:rFonts w:ascii="Trebuchet MS" w:eastAsia="Calibri" w:hAnsi="Trebuchet MS" w:cs="Times New Roman"/>
          <w:color w:val="auto"/>
          <w:kern w:val="0"/>
          <w:sz w:val="22"/>
          <w:szCs w:val="22"/>
          <w:lang w:val="ro-RO" w:eastAsia="en-US" w:bidi="ar-SA"/>
        </w:rPr>
      </w:pPr>
      <w:r>
        <w:rPr>
          <w:rFonts w:ascii="Trebuchet MS" w:hAnsi="Trebuchet MS" w:cs="Times New Roman"/>
          <w:color w:val="auto"/>
          <w:kern w:val="0"/>
          <w:sz w:val="22"/>
          <w:szCs w:val="22"/>
          <w:lang w:val="ro-RO" w:eastAsia="ja-JP" w:bidi="ar-SA"/>
        </w:rPr>
        <w:t>Î</w:t>
      </w:r>
      <w:r w:rsidR="00EB62EA" w:rsidRPr="00EB62EA">
        <w:rPr>
          <w:rFonts w:ascii="Trebuchet MS" w:hAnsi="Trebuchet MS" w:cs="Times New Roman"/>
          <w:color w:val="auto"/>
          <w:kern w:val="0"/>
          <w:sz w:val="22"/>
          <w:szCs w:val="22"/>
          <w:lang w:val="ro-RO" w:eastAsia="ja-JP" w:bidi="ar-SA"/>
        </w:rPr>
        <w:t>n urma implementării proiectelor de infrastructură socială, se va asigura cadrul propice pentru desfășurarea adecvată a activității de tip  after school a peste 80 de copii.</w:t>
      </w:r>
      <w:r w:rsidR="00EB62EA" w:rsidRPr="00EB62EA">
        <w:rPr>
          <w:rFonts w:ascii="Trebuchet MS" w:eastAsia="Calibri" w:hAnsi="Trebuchet MS" w:cs="Times New Roman"/>
          <w:color w:val="auto"/>
          <w:kern w:val="0"/>
          <w:sz w:val="22"/>
          <w:szCs w:val="22"/>
          <w:lang w:val="ro-RO" w:eastAsia="en-US" w:bidi="ar-SA"/>
        </w:rPr>
        <w:t xml:space="preserve">Măsura se dorește a se </w:t>
      </w:r>
      <w:r w:rsidR="00EB62EA" w:rsidRPr="00EB62EA">
        <w:rPr>
          <w:rFonts w:ascii="Trebuchet MS" w:eastAsia="Calibri" w:hAnsi="Trebuchet MS" w:cs="Times New Roman"/>
          <w:color w:val="auto"/>
          <w:kern w:val="0"/>
          <w:sz w:val="22"/>
          <w:szCs w:val="22"/>
          <w:lang w:val="ro-RO" w:eastAsia="en-US" w:bidi="ar-SA"/>
        </w:rPr>
        <w:lastRenderedPageBreak/>
        <w:t xml:space="preserve">concretiza în proiecte de utilitate publică cu impact social, și ulterior economic la nivelul comunității. </w:t>
      </w:r>
    </w:p>
    <w:p w:rsidR="00EB62EA" w:rsidRPr="00EB62EA" w:rsidRDefault="00EB62EA" w:rsidP="00EB62EA">
      <w:pPr>
        <w:spacing w:line="276" w:lineRule="auto"/>
        <w:jc w:val="both"/>
        <w:rPr>
          <w:rFonts w:ascii="Trebuchet MS" w:eastAsia="Calibri" w:hAnsi="Trebuchet MS" w:cs="Times New Roman"/>
          <w:color w:val="auto"/>
          <w:kern w:val="0"/>
          <w:sz w:val="22"/>
          <w:szCs w:val="22"/>
          <w:lang w:val="ro-RO" w:eastAsia="en-US" w:bidi="ar-SA"/>
        </w:rPr>
      </w:pPr>
    </w:p>
    <w:p w:rsidR="00EB62EA" w:rsidRPr="00EB62EA" w:rsidRDefault="00EB62EA" w:rsidP="00EB62EA">
      <w:pPr>
        <w:autoSpaceDE w:val="0"/>
        <w:autoSpaceDN w:val="0"/>
        <w:adjustRightInd w:val="0"/>
        <w:spacing w:line="276" w:lineRule="auto"/>
        <w:jc w:val="both"/>
        <w:rPr>
          <w:rFonts w:ascii="Trebuchet MS" w:eastAsia="Arial Unicode MS" w:hAnsi="Trebuchet MS" w:cs="Times New Roman"/>
          <w:b/>
          <w:color w:val="auto"/>
          <w:kern w:val="0"/>
          <w:sz w:val="22"/>
          <w:szCs w:val="22"/>
          <w:lang w:val="ro-RO" w:eastAsia="en-US" w:bidi="ar-SA"/>
        </w:rPr>
      </w:pPr>
      <w:r w:rsidRPr="00EB62EA">
        <w:rPr>
          <w:rFonts w:ascii="Trebuchet MS" w:eastAsia="Arial Unicode MS" w:hAnsi="Trebuchet MS" w:cs="Times New Roman"/>
          <w:b/>
          <w:color w:val="auto"/>
          <w:kern w:val="0"/>
          <w:sz w:val="22"/>
          <w:szCs w:val="22"/>
          <w:lang w:val="ro-RO" w:eastAsia="en-US" w:bidi="ar-SA"/>
        </w:rPr>
        <w:t>3. Trimiteri la alte acte legislative</w:t>
      </w:r>
    </w:p>
    <w:p w:rsidR="00EB62EA" w:rsidRPr="00EB62EA" w:rsidRDefault="00EB62EA" w:rsidP="00EB62EA">
      <w:pPr>
        <w:autoSpaceDE w:val="0"/>
        <w:autoSpaceDN w:val="0"/>
        <w:adjustRightInd w:val="0"/>
        <w:spacing w:line="276" w:lineRule="auto"/>
        <w:jc w:val="both"/>
        <w:rPr>
          <w:rFonts w:ascii="Trebuchet MS" w:eastAsia="Calibri" w:hAnsi="Trebuchet MS" w:cs="Times New Roman"/>
          <w:b/>
          <w:color w:val="auto"/>
          <w:kern w:val="0"/>
          <w:sz w:val="22"/>
          <w:szCs w:val="22"/>
          <w:lang w:val="ro-RO" w:eastAsia="en-US" w:bidi="ar-SA"/>
        </w:rPr>
      </w:pPr>
      <w:r w:rsidRPr="00EB62EA">
        <w:rPr>
          <w:rFonts w:ascii="Trebuchet MS" w:eastAsia="Calibri" w:hAnsi="Trebuchet MS" w:cs="Times New Roman"/>
          <w:b/>
          <w:color w:val="auto"/>
          <w:kern w:val="0"/>
          <w:sz w:val="22"/>
          <w:szCs w:val="22"/>
          <w:lang w:val="ro-RO" w:eastAsia="en-US" w:bidi="ar-SA"/>
        </w:rPr>
        <w:t xml:space="preserve">Legislație UE </w:t>
      </w:r>
    </w:p>
    <w:p w:rsidR="00EB62EA" w:rsidRPr="00EB62EA" w:rsidRDefault="00EB62EA" w:rsidP="00EB62EA">
      <w:pPr>
        <w:autoSpaceDE w:val="0"/>
        <w:autoSpaceDN w:val="0"/>
        <w:adjustRightInd w:val="0"/>
        <w:spacing w:line="276" w:lineRule="auto"/>
        <w:ind w:firstLine="720"/>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b/>
          <w:color w:val="auto"/>
          <w:kern w:val="0"/>
          <w:sz w:val="22"/>
          <w:szCs w:val="22"/>
          <w:lang w:val="ro-RO" w:eastAsia="en-US" w:bidi="ar-SA"/>
        </w:rPr>
        <w:t>Directiva 2000/60/CE</w:t>
      </w:r>
      <w:r w:rsidRPr="00EB62EA">
        <w:rPr>
          <w:rFonts w:ascii="Trebuchet MS" w:eastAsia="Calibri" w:hAnsi="Trebuchet MS" w:cs="Times New Roman"/>
          <w:color w:val="auto"/>
          <w:kern w:val="0"/>
          <w:sz w:val="22"/>
          <w:szCs w:val="22"/>
          <w:lang w:val="ro-RO" w:eastAsia="en-US" w:bidi="ar-SA"/>
        </w:rPr>
        <w:t xml:space="preserve"> a Parlamentului European şi a Consiliului din 23 octombrie 2000 </w:t>
      </w:r>
    </w:p>
    <w:p w:rsidR="00EB62EA" w:rsidRPr="00EB62EA" w:rsidRDefault="00EB62EA" w:rsidP="00EB62EA">
      <w:pPr>
        <w:autoSpaceDE w:val="0"/>
        <w:autoSpaceDN w:val="0"/>
        <w:adjustRightInd w:val="0"/>
        <w:spacing w:line="276" w:lineRule="auto"/>
        <w:ind w:firstLine="720"/>
        <w:jc w:val="both"/>
        <w:rPr>
          <w:rFonts w:ascii="Trebuchet MS" w:eastAsia="Calibri" w:hAnsi="Trebuchet MS" w:cs="Times New Roman"/>
          <w:color w:val="auto"/>
          <w:kern w:val="0"/>
          <w:sz w:val="22"/>
          <w:szCs w:val="22"/>
          <w:lang w:val="ro-RO" w:eastAsia="en-US" w:bidi="ar-SA"/>
        </w:rPr>
      </w:pPr>
    </w:p>
    <w:p w:rsidR="00EB62EA" w:rsidRPr="00EB62EA" w:rsidRDefault="00EB62EA" w:rsidP="00EB62EA">
      <w:pPr>
        <w:autoSpaceDE w:val="0"/>
        <w:autoSpaceDN w:val="0"/>
        <w:adjustRightInd w:val="0"/>
        <w:spacing w:line="276" w:lineRule="auto"/>
        <w:ind w:firstLine="720"/>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b/>
          <w:color w:val="auto"/>
          <w:kern w:val="0"/>
          <w:sz w:val="22"/>
          <w:szCs w:val="22"/>
          <w:lang w:val="ro-RO" w:eastAsia="en-US" w:bidi="ar-SA"/>
        </w:rPr>
        <w:t>R(UE) nr. 1303/2013</w:t>
      </w:r>
      <w:r w:rsidRPr="00EB62EA">
        <w:rPr>
          <w:rFonts w:ascii="Trebuchet MS" w:eastAsia="Calibri" w:hAnsi="Trebuchet MS" w:cs="Times New Roman"/>
          <w:color w:val="auto"/>
          <w:kern w:val="0"/>
          <w:sz w:val="22"/>
          <w:szCs w:val="22"/>
          <w:lang w:val="ro-RO" w:eastAsia="en-US" w:bidi="ar-SA"/>
        </w:rPr>
        <w:t xml:space="preserve">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 (CE) nr. 1083/2006 al Consiliului </w:t>
      </w:r>
    </w:p>
    <w:p w:rsidR="00EB62EA" w:rsidRPr="00EB62EA" w:rsidRDefault="00EB62EA" w:rsidP="00EB62EA">
      <w:pPr>
        <w:autoSpaceDE w:val="0"/>
        <w:autoSpaceDN w:val="0"/>
        <w:adjustRightInd w:val="0"/>
        <w:spacing w:line="276" w:lineRule="auto"/>
        <w:ind w:firstLine="720"/>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b/>
          <w:color w:val="auto"/>
          <w:kern w:val="0"/>
          <w:sz w:val="22"/>
          <w:szCs w:val="22"/>
          <w:lang w:val="ro-RO" w:eastAsia="en-US" w:bidi="ar-SA"/>
        </w:rPr>
        <w:t>R (UE) nr. 480/2014</w:t>
      </w:r>
      <w:r w:rsidRPr="00EB62EA">
        <w:rPr>
          <w:rFonts w:ascii="Trebuchet MS" w:eastAsia="Calibri" w:hAnsi="Trebuchet MS" w:cs="Times New Roman"/>
          <w:color w:val="auto"/>
          <w:kern w:val="0"/>
          <w:sz w:val="22"/>
          <w:szCs w:val="22"/>
          <w:lang w:val="ro-RO" w:eastAsia="en-US" w:bidi="ar-SA"/>
        </w:rPr>
        <w:t xml:space="preserve"> de completare a R (UE) nr. 1303/2013 </w:t>
      </w:r>
    </w:p>
    <w:p w:rsidR="00EB62EA" w:rsidRPr="00EB62EA" w:rsidRDefault="00EB62EA" w:rsidP="00EB62EA">
      <w:pPr>
        <w:autoSpaceDE w:val="0"/>
        <w:autoSpaceDN w:val="0"/>
        <w:adjustRightInd w:val="0"/>
        <w:spacing w:line="276" w:lineRule="auto"/>
        <w:ind w:firstLine="720"/>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b/>
          <w:color w:val="auto"/>
          <w:kern w:val="0"/>
          <w:sz w:val="22"/>
          <w:szCs w:val="22"/>
          <w:lang w:val="ro-RO" w:eastAsia="en-US" w:bidi="ar-SA"/>
        </w:rPr>
        <w:t>R (UE) nr. 808/2014</w:t>
      </w:r>
      <w:r w:rsidRPr="00EB62EA">
        <w:rPr>
          <w:rFonts w:ascii="Trebuchet MS" w:eastAsia="Calibri" w:hAnsi="Trebuchet MS" w:cs="Times New Roman"/>
          <w:color w:val="auto"/>
          <w:kern w:val="0"/>
          <w:sz w:val="22"/>
          <w:szCs w:val="22"/>
          <w:lang w:val="ro-RO" w:eastAsia="en-US" w:bidi="ar-SA"/>
        </w:rPr>
        <w:t xml:space="preserve"> de stabilire a normelor de aplicare a R (UE) Nr. 1305/2013 </w:t>
      </w:r>
    </w:p>
    <w:p w:rsidR="00EB62EA" w:rsidRPr="00EB62EA" w:rsidRDefault="00EB62EA" w:rsidP="00EB62EA">
      <w:pPr>
        <w:autoSpaceDE w:val="0"/>
        <w:autoSpaceDN w:val="0"/>
        <w:adjustRightInd w:val="0"/>
        <w:spacing w:line="276" w:lineRule="auto"/>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 xml:space="preserve">Legislație Națională </w:t>
      </w:r>
    </w:p>
    <w:p w:rsidR="00EB62EA" w:rsidRPr="00EB62EA" w:rsidRDefault="00EB62EA" w:rsidP="00EB62EA">
      <w:pPr>
        <w:autoSpaceDE w:val="0"/>
        <w:autoSpaceDN w:val="0"/>
        <w:adjustRightInd w:val="0"/>
        <w:spacing w:line="276" w:lineRule="auto"/>
        <w:ind w:firstLine="720"/>
        <w:jc w:val="both"/>
        <w:rPr>
          <w:rFonts w:ascii="Trebuchet MS" w:eastAsia="Calibri" w:hAnsi="Trebuchet MS" w:cs="Times New Roman"/>
          <w:b/>
          <w:color w:val="auto"/>
          <w:kern w:val="0"/>
          <w:sz w:val="22"/>
          <w:szCs w:val="22"/>
          <w:lang w:val="ro-RO" w:eastAsia="en-US" w:bidi="ar-SA"/>
        </w:rPr>
      </w:pPr>
      <w:r w:rsidRPr="00EB62EA">
        <w:rPr>
          <w:rFonts w:ascii="Trebuchet MS" w:eastAsia="Arial Unicode MS" w:hAnsi="Trebuchet MS" w:cs="Times New Roman"/>
          <w:b/>
          <w:color w:val="auto"/>
          <w:kern w:val="0"/>
          <w:sz w:val="22"/>
          <w:szCs w:val="22"/>
          <w:lang w:val="ro-RO" w:eastAsia="en-US" w:bidi="ar-SA"/>
        </w:rPr>
        <w:t>Hotărârea Guvernului nr. 226 din 2 aprilie 2015</w:t>
      </w:r>
      <w:r w:rsidRPr="00EB62EA">
        <w:rPr>
          <w:rFonts w:ascii="Trebuchet MS" w:eastAsia="Arial Unicode MS" w:hAnsi="Trebuchet MS" w:cs="Times New Roman"/>
          <w:color w:val="auto"/>
          <w:kern w:val="0"/>
          <w:sz w:val="22"/>
          <w:szCs w:val="22"/>
          <w:lang w:val="ro-RO" w:eastAsia="en-US" w:bidi="ar-SA"/>
        </w:rPr>
        <w:t xml:space="preserve"> privind stabilirea cadrului general de implementare a măsurilor programului naţional de dezvoltare rurală cofinanţate din Fondul European Agricol pentru Dezvoltare Rurală şi de la bugetul de stat</w:t>
      </w:r>
    </w:p>
    <w:p w:rsidR="00EB62EA" w:rsidRPr="00EB62EA" w:rsidRDefault="00EB62EA" w:rsidP="00EB62EA">
      <w:pPr>
        <w:autoSpaceDE w:val="0"/>
        <w:autoSpaceDN w:val="0"/>
        <w:adjustRightInd w:val="0"/>
        <w:spacing w:line="276" w:lineRule="auto"/>
        <w:ind w:firstLine="720"/>
        <w:jc w:val="both"/>
        <w:rPr>
          <w:rFonts w:ascii="Trebuchet MS" w:eastAsia="Calibri" w:hAnsi="Trebuchet MS" w:cs="Times New Roman"/>
          <w:color w:val="auto"/>
          <w:kern w:val="0"/>
          <w:sz w:val="22"/>
          <w:szCs w:val="22"/>
          <w:lang w:val="ro-RO" w:eastAsia="en-US" w:bidi="ar-SA"/>
        </w:rPr>
      </w:pPr>
    </w:p>
    <w:p w:rsidR="00EB62EA" w:rsidRPr="00EB62EA" w:rsidRDefault="00EB62EA" w:rsidP="00EB62EA">
      <w:pPr>
        <w:autoSpaceDE w:val="0"/>
        <w:autoSpaceDN w:val="0"/>
        <w:adjustRightInd w:val="0"/>
        <w:spacing w:line="276" w:lineRule="auto"/>
        <w:ind w:firstLine="720"/>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b/>
          <w:color w:val="auto"/>
          <w:kern w:val="0"/>
          <w:sz w:val="22"/>
          <w:szCs w:val="22"/>
          <w:lang w:val="ro-RO" w:eastAsia="en-US" w:bidi="ar-SA"/>
        </w:rPr>
        <w:t>Legea nr. 263/2007</w:t>
      </w:r>
      <w:r w:rsidRPr="00EB62EA">
        <w:rPr>
          <w:rFonts w:ascii="Trebuchet MS" w:eastAsia="Calibri" w:hAnsi="Trebuchet MS" w:cs="Times New Roman"/>
          <w:color w:val="auto"/>
          <w:kern w:val="0"/>
          <w:sz w:val="22"/>
          <w:szCs w:val="22"/>
          <w:lang w:val="ro-RO" w:eastAsia="en-US" w:bidi="ar-SA"/>
        </w:rPr>
        <w:t xml:space="preserve"> privind înfiinţarea, organizarea şi funcţionarea creşelor; </w:t>
      </w:r>
    </w:p>
    <w:p w:rsidR="00EB62EA" w:rsidRPr="00EB62EA" w:rsidRDefault="00EB62EA" w:rsidP="00EB62EA">
      <w:pPr>
        <w:autoSpaceDE w:val="0"/>
        <w:autoSpaceDN w:val="0"/>
        <w:adjustRightInd w:val="0"/>
        <w:spacing w:line="276" w:lineRule="auto"/>
        <w:ind w:firstLine="720"/>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b/>
          <w:color w:val="auto"/>
          <w:kern w:val="0"/>
          <w:sz w:val="22"/>
          <w:szCs w:val="22"/>
          <w:lang w:val="ro-RO" w:eastAsia="en-US" w:bidi="ar-SA"/>
        </w:rPr>
        <w:t>Legea nr. 215/2001</w:t>
      </w:r>
      <w:r w:rsidRPr="00EB62EA">
        <w:rPr>
          <w:rFonts w:ascii="Trebuchet MS" w:eastAsia="Calibri" w:hAnsi="Trebuchet MS" w:cs="Times New Roman"/>
          <w:color w:val="auto"/>
          <w:kern w:val="0"/>
          <w:sz w:val="22"/>
          <w:szCs w:val="22"/>
          <w:lang w:val="ro-RO" w:eastAsia="en-US" w:bidi="ar-SA"/>
        </w:rPr>
        <w:t xml:space="preserve"> a administrației publice locale - republicată, cu modificările și completările ulterioare; </w:t>
      </w:r>
    </w:p>
    <w:p w:rsidR="00EB62EA" w:rsidRPr="00EB62EA" w:rsidRDefault="00EB62EA" w:rsidP="00EB62EA">
      <w:pPr>
        <w:autoSpaceDE w:val="0"/>
        <w:autoSpaceDN w:val="0"/>
        <w:adjustRightInd w:val="0"/>
        <w:spacing w:line="276" w:lineRule="auto"/>
        <w:ind w:firstLine="720"/>
        <w:jc w:val="both"/>
        <w:rPr>
          <w:rFonts w:ascii="Trebuchet MS" w:eastAsia="Calibri" w:hAnsi="Trebuchet MS" w:cs="Times New Roman"/>
          <w:color w:val="auto"/>
          <w:kern w:val="0"/>
          <w:sz w:val="22"/>
          <w:szCs w:val="22"/>
          <w:lang w:val="ro-RO" w:eastAsia="en-US" w:bidi="ar-SA"/>
        </w:rPr>
      </w:pPr>
    </w:p>
    <w:p w:rsidR="00EB62EA" w:rsidRPr="00EB62EA" w:rsidRDefault="00EB62EA" w:rsidP="00EB62EA">
      <w:pPr>
        <w:autoSpaceDE w:val="0"/>
        <w:autoSpaceDN w:val="0"/>
        <w:adjustRightInd w:val="0"/>
        <w:spacing w:line="276" w:lineRule="auto"/>
        <w:ind w:firstLine="720"/>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b/>
          <w:color w:val="auto"/>
          <w:kern w:val="0"/>
          <w:sz w:val="22"/>
          <w:szCs w:val="22"/>
          <w:lang w:val="ro-RO" w:eastAsia="en-US" w:bidi="ar-SA"/>
        </w:rPr>
        <w:t>Hotărârea de Guvern nr 26/2000</w:t>
      </w:r>
      <w:r w:rsidRPr="00EB62EA">
        <w:rPr>
          <w:rFonts w:ascii="Trebuchet MS" w:eastAsia="Calibri" w:hAnsi="Trebuchet MS" w:cs="Times New Roman"/>
          <w:color w:val="auto"/>
          <w:kern w:val="0"/>
          <w:sz w:val="22"/>
          <w:szCs w:val="22"/>
          <w:lang w:val="ro-RO" w:eastAsia="en-US" w:bidi="ar-SA"/>
        </w:rPr>
        <w:t xml:space="preserve"> cu privire la asociații și fundații, cu modificările și completările ulterioare; </w:t>
      </w:r>
    </w:p>
    <w:p w:rsidR="00EB62EA" w:rsidRPr="00EB62EA" w:rsidRDefault="00EB62EA" w:rsidP="00EB62EA">
      <w:pPr>
        <w:spacing w:line="276" w:lineRule="auto"/>
        <w:jc w:val="both"/>
        <w:rPr>
          <w:rFonts w:ascii="Trebuchet MS" w:eastAsia="Arial Unicode MS" w:hAnsi="Trebuchet MS" w:cs="Times New Roman"/>
          <w:color w:val="auto"/>
          <w:kern w:val="0"/>
          <w:sz w:val="22"/>
          <w:szCs w:val="22"/>
          <w:lang w:val="ro-RO" w:eastAsia="en-US" w:bidi="ar-SA"/>
        </w:rPr>
      </w:pPr>
    </w:p>
    <w:p w:rsidR="00EB62EA" w:rsidRPr="00EB62EA" w:rsidRDefault="00EB62EA" w:rsidP="00EB62EA">
      <w:pPr>
        <w:spacing w:line="276" w:lineRule="auto"/>
        <w:jc w:val="both"/>
        <w:rPr>
          <w:rFonts w:ascii="Trebuchet MS" w:eastAsia="Arial Unicode MS" w:hAnsi="Trebuchet MS" w:cs="Times New Roman"/>
          <w:b/>
          <w:color w:val="auto"/>
          <w:kern w:val="0"/>
          <w:sz w:val="22"/>
          <w:szCs w:val="22"/>
          <w:lang w:val="ro-RO" w:eastAsia="en-US" w:bidi="ar-SA"/>
        </w:rPr>
      </w:pPr>
      <w:r w:rsidRPr="00EB62EA">
        <w:rPr>
          <w:rFonts w:ascii="Trebuchet MS" w:eastAsia="Arial Unicode MS" w:hAnsi="Trebuchet MS" w:cs="Times New Roman"/>
          <w:b/>
          <w:color w:val="auto"/>
          <w:kern w:val="0"/>
          <w:sz w:val="22"/>
          <w:szCs w:val="22"/>
          <w:lang w:val="ro-RO" w:eastAsia="en-US" w:bidi="ar-SA"/>
        </w:rPr>
        <w:t>4.</w:t>
      </w:r>
      <w:r w:rsidRPr="00EB62EA">
        <w:rPr>
          <w:rFonts w:ascii="Trebuchet MS" w:eastAsia="Arial Unicode MS" w:hAnsi="Trebuchet MS" w:cs="Times New Roman"/>
          <w:color w:val="auto"/>
          <w:kern w:val="0"/>
          <w:sz w:val="22"/>
          <w:szCs w:val="22"/>
          <w:lang w:val="ro-RO" w:eastAsia="en-US" w:bidi="ar-SA"/>
        </w:rPr>
        <w:t xml:space="preserve"> </w:t>
      </w:r>
      <w:r w:rsidRPr="00EB62EA">
        <w:rPr>
          <w:rFonts w:ascii="Trebuchet MS" w:eastAsia="Arial Unicode MS" w:hAnsi="Trebuchet MS" w:cs="Times New Roman"/>
          <w:b/>
          <w:color w:val="auto"/>
          <w:kern w:val="0"/>
          <w:sz w:val="22"/>
          <w:szCs w:val="22"/>
          <w:lang w:val="ro-RO" w:eastAsia="en-US" w:bidi="ar-SA"/>
        </w:rPr>
        <w:t>Beneficiari direcți/indirecți (grup țintă)</w:t>
      </w:r>
    </w:p>
    <w:p w:rsidR="00EB62EA" w:rsidRPr="00EB62EA" w:rsidRDefault="00EB62EA" w:rsidP="00EB62EA">
      <w:pPr>
        <w:spacing w:line="276" w:lineRule="auto"/>
        <w:jc w:val="both"/>
        <w:rPr>
          <w:rFonts w:ascii="Trebuchet MS" w:eastAsia="Arial Unicode MS" w:hAnsi="Trebuchet MS" w:cs="Times New Roman"/>
          <w:color w:val="auto"/>
          <w:kern w:val="0"/>
          <w:sz w:val="22"/>
          <w:szCs w:val="22"/>
          <w:lang w:val="ro-RO" w:eastAsia="en-US" w:bidi="ar-SA"/>
        </w:rPr>
      </w:pPr>
      <w:r w:rsidRPr="00EB62EA">
        <w:rPr>
          <w:rFonts w:ascii="Trebuchet MS" w:eastAsia="Arial Unicode MS" w:hAnsi="Trebuchet MS" w:cs="Times New Roman"/>
          <w:b/>
          <w:color w:val="auto"/>
          <w:kern w:val="0"/>
          <w:sz w:val="22"/>
          <w:szCs w:val="22"/>
          <w:lang w:val="ro-RO" w:eastAsia="en-US" w:bidi="ar-SA"/>
        </w:rPr>
        <w:t>Beneficiari direcți</w:t>
      </w:r>
    </w:p>
    <w:p w:rsidR="00EB62EA" w:rsidRPr="00EB62EA" w:rsidRDefault="00EB62EA" w:rsidP="00EB62EA">
      <w:pPr>
        <w:numPr>
          <w:ilvl w:val="0"/>
          <w:numId w:val="6"/>
        </w:numPr>
        <w:tabs>
          <w:tab w:val="left" w:pos="270"/>
        </w:tabs>
        <w:autoSpaceDE w:val="0"/>
        <w:autoSpaceDN w:val="0"/>
        <w:adjustRightInd w:val="0"/>
        <w:spacing w:after="160" w:line="254" w:lineRule="auto"/>
        <w:contextualSpacing/>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Comunele și asociațiile acestora conform legislației naționale în vigoare;</w:t>
      </w:r>
    </w:p>
    <w:p w:rsidR="00EB62EA" w:rsidRPr="00EB62EA" w:rsidRDefault="00EB62EA" w:rsidP="00EB62EA">
      <w:pPr>
        <w:numPr>
          <w:ilvl w:val="0"/>
          <w:numId w:val="6"/>
        </w:numPr>
        <w:tabs>
          <w:tab w:val="left" w:pos="270"/>
        </w:tabs>
        <w:autoSpaceDE w:val="0"/>
        <w:autoSpaceDN w:val="0"/>
        <w:adjustRightInd w:val="0"/>
        <w:spacing w:after="160" w:line="254" w:lineRule="auto"/>
        <w:contextualSpacing/>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 xml:space="preserve">ONG-uri pentru investiții în socială (infrastructură de tip after-school). </w:t>
      </w:r>
    </w:p>
    <w:p w:rsidR="00EB62EA" w:rsidRPr="00EB62EA" w:rsidRDefault="00EB62EA" w:rsidP="00EB62EA">
      <w:pPr>
        <w:numPr>
          <w:ilvl w:val="0"/>
          <w:numId w:val="6"/>
        </w:numPr>
        <w:tabs>
          <w:tab w:val="left" w:pos="270"/>
        </w:tabs>
        <w:autoSpaceDE w:val="0"/>
        <w:autoSpaceDN w:val="0"/>
        <w:adjustRightInd w:val="0"/>
        <w:spacing w:after="160" w:line="254" w:lineRule="auto"/>
        <w:contextualSpacing/>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GAL Valea Șomuzului, în situația în care în urma lansării primului apel de selecție nu se depun proiecte, cu respectarea legislației specifice.</w:t>
      </w:r>
    </w:p>
    <w:p w:rsidR="00EB62EA" w:rsidRPr="00EB62EA" w:rsidRDefault="00EB62EA" w:rsidP="00EB62EA">
      <w:pPr>
        <w:tabs>
          <w:tab w:val="left" w:pos="270"/>
        </w:tabs>
        <w:autoSpaceDE w:val="0"/>
        <w:autoSpaceDN w:val="0"/>
        <w:adjustRightInd w:val="0"/>
        <w:spacing w:line="254" w:lineRule="auto"/>
        <w:contextualSpacing/>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-toți beneficiarii direcți trebuie să aibă sediul social sau punctul de lucru în teritoriul Gal Valea Șomuzului, iar investiția trebuie să se realizeze pe teritoriul Gal Valea Șomuzului.</w:t>
      </w:r>
    </w:p>
    <w:p w:rsidR="00EB62EA" w:rsidRPr="00EB62EA" w:rsidRDefault="00EB62EA" w:rsidP="00EB62EA">
      <w:pPr>
        <w:tabs>
          <w:tab w:val="left" w:pos="270"/>
        </w:tabs>
        <w:autoSpaceDE w:val="0"/>
        <w:autoSpaceDN w:val="0"/>
        <w:adjustRightInd w:val="0"/>
        <w:spacing w:line="276" w:lineRule="auto"/>
        <w:jc w:val="both"/>
        <w:rPr>
          <w:rFonts w:ascii="Trebuchet MS" w:eastAsia="Calibri" w:hAnsi="Trebuchet MS" w:cs="Times New Roman"/>
          <w:b/>
          <w:color w:val="auto"/>
          <w:kern w:val="0"/>
          <w:sz w:val="22"/>
          <w:szCs w:val="22"/>
          <w:lang w:val="ro-RO" w:eastAsia="en-US" w:bidi="ar-SA"/>
        </w:rPr>
      </w:pPr>
      <w:r w:rsidRPr="00EB62EA">
        <w:rPr>
          <w:rFonts w:ascii="Trebuchet MS" w:eastAsia="Calibri" w:hAnsi="Trebuchet MS" w:cs="Times New Roman"/>
          <w:b/>
          <w:color w:val="auto"/>
          <w:kern w:val="0"/>
          <w:sz w:val="22"/>
          <w:szCs w:val="22"/>
          <w:lang w:val="ro-RO" w:eastAsia="en-US" w:bidi="ar-SA"/>
        </w:rPr>
        <w:t>Beneficiari indirecți (grup țintă):</w:t>
      </w:r>
    </w:p>
    <w:p w:rsidR="00EB62EA" w:rsidRPr="00EB62EA" w:rsidRDefault="00EB62EA" w:rsidP="00EB62EA">
      <w:pPr>
        <w:numPr>
          <w:ilvl w:val="0"/>
          <w:numId w:val="6"/>
        </w:numPr>
        <w:tabs>
          <w:tab w:val="left" w:pos="270"/>
        </w:tabs>
        <w:autoSpaceDE w:val="0"/>
        <w:autoSpaceDN w:val="0"/>
        <w:adjustRightInd w:val="0"/>
        <w:spacing w:after="160" w:line="254" w:lineRule="auto"/>
        <w:contextualSpacing/>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Minoritățile etnice din teritoriul GAL Valea Șomuzului</w:t>
      </w:r>
    </w:p>
    <w:p w:rsidR="00EB62EA" w:rsidRPr="00EB62EA" w:rsidRDefault="00EB62EA" w:rsidP="00EB62EA">
      <w:pPr>
        <w:numPr>
          <w:ilvl w:val="0"/>
          <w:numId w:val="6"/>
        </w:numPr>
        <w:tabs>
          <w:tab w:val="left" w:pos="270"/>
        </w:tabs>
        <w:autoSpaceDE w:val="0"/>
        <w:autoSpaceDN w:val="0"/>
        <w:adjustRightInd w:val="0"/>
        <w:spacing w:after="160" w:line="254" w:lineRule="auto"/>
        <w:contextualSpacing/>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Copii care vor beneficia de activitățile desfășurate în cadrul centrelor</w:t>
      </w:r>
    </w:p>
    <w:p w:rsidR="00EB62EA" w:rsidRPr="00EB62EA" w:rsidRDefault="00EB62EA" w:rsidP="00EB62EA">
      <w:pPr>
        <w:numPr>
          <w:ilvl w:val="0"/>
          <w:numId w:val="6"/>
        </w:numPr>
        <w:tabs>
          <w:tab w:val="left" w:pos="270"/>
        </w:tabs>
        <w:autoSpaceDE w:val="0"/>
        <w:autoSpaceDN w:val="0"/>
        <w:adjustRightInd w:val="0"/>
        <w:spacing w:after="160" w:line="254" w:lineRule="auto"/>
        <w:contextualSpacing/>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Personalul auxiliar ce se va ocupa de funcționarea structurii de tip after school</w:t>
      </w:r>
    </w:p>
    <w:p w:rsidR="00EB62EA" w:rsidRPr="00EB62EA" w:rsidRDefault="00EB62EA" w:rsidP="00EB62EA">
      <w:pPr>
        <w:numPr>
          <w:ilvl w:val="0"/>
          <w:numId w:val="6"/>
        </w:numPr>
        <w:tabs>
          <w:tab w:val="left" w:pos="270"/>
        </w:tabs>
        <w:autoSpaceDE w:val="0"/>
        <w:autoSpaceDN w:val="0"/>
        <w:adjustRightInd w:val="0"/>
        <w:spacing w:after="160" w:line="254" w:lineRule="auto"/>
        <w:contextualSpacing/>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Populația din teritoriul GAL Valea Șomuzului</w:t>
      </w:r>
    </w:p>
    <w:p w:rsidR="00EB62EA" w:rsidRPr="00EB62EA" w:rsidRDefault="00EB62EA" w:rsidP="00EB62EA">
      <w:pPr>
        <w:autoSpaceDE w:val="0"/>
        <w:autoSpaceDN w:val="0"/>
        <w:adjustRightInd w:val="0"/>
        <w:spacing w:line="276" w:lineRule="auto"/>
        <w:jc w:val="both"/>
        <w:rPr>
          <w:rFonts w:ascii="Trebuchet MS" w:eastAsia="Calibri" w:hAnsi="Trebuchet MS" w:cs="Times New Roman"/>
          <w:color w:val="auto"/>
          <w:kern w:val="0"/>
          <w:sz w:val="22"/>
          <w:szCs w:val="22"/>
          <w:lang w:val="ro-RO" w:eastAsia="en-US" w:bidi="ar-SA"/>
        </w:rPr>
      </w:pPr>
    </w:p>
    <w:p w:rsidR="00EB62EA" w:rsidRPr="00EB62EA" w:rsidRDefault="00EB62EA" w:rsidP="00EB62EA">
      <w:pPr>
        <w:autoSpaceDE w:val="0"/>
        <w:autoSpaceDN w:val="0"/>
        <w:adjustRightInd w:val="0"/>
        <w:spacing w:line="276" w:lineRule="auto"/>
        <w:jc w:val="both"/>
        <w:rPr>
          <w:rFonts w:ascii="Trebuchet MS" w:eastAsia="Calibri" w:hAnsi="Trebuchet MS" w:cs="Times New Roman"/>
          <w:b/>
          <w:color w:val="auto"/>
          <w:kern w:val="0"/>
          <w:sz w:val="22"/>
          <w:szCs w:val="22"/>
          <w:lang w:val="ro-RO" w:eastAsia="en-US" w:bidi="ar-SA"/>
        </w:rPr>
      </w:pPr>
      <w:r w:rsidRPr="00EB62EA">
        <w:rPr>
          <w:rFonts w:ascii="Trebuchet MS" w:eastAsia="Calibri" w:hAnsi="Trebuchet MS" w:cs="Times New Roman"/>
          <w:b/>
          <w:color w:val="auto"/>
          <w:kern w:val="0"/>
          <w:sz w:val="22"/>
          <w:szCs w:val="22"/>
          <w:lang w:val="ro-RO" w:eastAsia="en-US" w:bidi="ar-SA"/>
        </w:rPr>
        <w:t>5. Tip de sprijin</w:t>
      </w:r>
    </w:p>
    <w:p w:rsidR="00EB62EA" w:rsidRPr="00EB62EA" w:rsidRDefault="00EB62EA" w:rsidP="00EB62EA">
      <w:pPr>
        <w:autoSpaceDE w:val="0"/>
        <w:autoSpaceDN w:val="0"/>
        <w:adjustRightInd w:val="0"/>
        <w:spacing w:line="276" w:lineRule="auto"/>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 rambursarea costurilor eligibile suportate și plătite efectiv</w:t>
      </w:r>
    </w:p>
    <w:p w:rsidR="00EB62EA" w:rsidRPr="00EB62EA" w:rsidRDefault="00EB62EA" w:rsidP="00EB62EA">
      <w:pPr>
        <w:autoSpaceDE w:val="0"/>
        <w:autoSpaceDN w:val="0"/>
        <w:adjustRightInd w:val="0"/>
        <w:spacing w:line="276" w:lineRule="auto"/>
        <w:jc w:val="both"/>
        <w:rPr>
          <w:rFonts w:ascii="Trebuchet MS" w:eastAsia="Calibri" w:hAnsi="Trebuchet MS" w:cs="Times New Roman"/>
          <w:color w:val="auto"/>
          <w:kern w:val="0"/>
          <w:sz w:val="22"/>
          <w:szCs w:val="22"/>
          <w:lang w:val="ro-RO" w:eastAsia="en-US" w:bidi="ar-SA"/>
        </w:rPr>
      </w:pPr>
    </w:p>
    <w:p w:rsidR="00EB62EA" w:rsidRPr="00EB62EA" w:rsidRDefault="00EB62EA" w:rsidP="00EB62EA">
      <w:pPr>
        <w:autoSpaceDE w:val="0"/>
        <w:autoSpaceDN w:val="0"/>
        <w:adjustRightInd w:val="0"/>
        <w:spacing w:line="276" w:lineRule="auto"/>
        <w:jc w:val="both"/>
        <w:rPr>
          <w:rFonts w:ascii="Trebuchet MS" w:eastAsia="Calibri" w:hAnsi="Trebuchet MS" w:cs="Times New Roman"/>
          <w:b/>
          <w:color w:val="auto"/>
          <w:kern w:val="0"/>
          <w:sz w:val="22"/>
          <w:szCs w:val="22"/>
          <w:lang w:val="ro-RO" w:eastAsia="en-US" w:bidi="ar-SA"/>
        </w:rPr>
      </w:pPr>
      <w:r w:rsidRPr="00EB62EA">
        <w:rPr>
          <w:rFonts w:ascii="Trebuchet MS" w:eastAsia="Calibri" w:hAnsi="Trebuchet MS" w:cs="Times New Roman"/>
          <w:b/>
          <w:color w:val="auto"/>
          <w:kern w:val="0"/>
          <w:sz w:val="22"/>
          <w:szCs w:val="22"/>
          <w:lang w:val="ro-RO" w:eastAsia="en-US" w:bidi="ar-SA"/>
        </w:rPr>
        <w:t>6.</w:t>
      </w:r>
      <w:r w:rsidRPr="00EB62EA">
        <w:rPr>
          <w:rFonts w:ascii="Trebuchet MS" w:eastAsia="Calibri" w:hAnsi="Trebuchet MS" w:cs="Times New Roman"/>
          <w:color w:val="auto"/>
          <w:kern w:val="0"/>
          <w:sz w:val="22"/>
          <w:szCs w:val="22"/>
          <w:lang w:val="ro-RO" w:eastAsia="en-US" w:bidi="ar-SA"/>
        </w:rPr>
        <w:t xml:space="preserve"> </w:t>
      </w:r>
      <w:r w:rsidRPr="00EB62EA">
        <w:rPr>
          <w:rFonts w:ascii="Trebuchet MS" w:eastAsia="Calibri" w:hAnsi="Trebuchet MS" w:cs="Times New Roman"/>
          <w:b/>
          <w:color w:val="auto"/>
          <w:kern w:val="0"/>
          <w:sz w:val="22"/>
          <w:szCs w:val="22"/>
          <w:lang w:val="ro-RO" w:eastAsia="en-US" w:bidi="ar-SA"/>
        </w:rPr>
        <w:t>Tipuri de acțiuni eligibile și neeligibile</w:t>
      </w:r>
    </w:p>
    <w:p w:rsidR="00EB62EA" w:rsidRPr="00EB62EA" w:rsidRDefault="00EB62EA" w:rsidP="00EB62EA">
      <w:pPr>
        <w:autoSpaceDE w:val="0"/>
        <w:autoSpaceDN w:val="0"/>
        <w:adjustRightInd w:val="0"/>
        <w:spacing w:line="276" w:lineRule="auto"/>
        <w:jc w:val="both"/>
        <w:rPr>
          <w:rFonts w:ascii="Trebuchet MS" w:eastAsia="Calibri" w:hAnsi="Trebuchet MS" w:cs="Trebuchet MS"/>
          <w:color w:val="auto"/>
          <w:kern w:val="0"/>
          <w:sz w:val="22"/>
          <w:szCs w:val="22"/>
          <w:lang w:eastAsia="en-US" w:bidi="ar-SA"/>
        </w:rPr>
      </w:pPr>
      <w:r w:rsidRPr="00EB62EA">
        <w:rPr>
          <w:rFonts w:ascii="Trebuchet MS" w:eastAsia="Calibri" w:hAnsi="Trebuchet MS" w:cs="Trebuchet MS"/>
          <w:color w:val="auto"/>
          <w:kern w:val="0"/>
          <w:sz w:val="22"/>
          <w:szCs w:val="22"/>
          <w:lang w:val="ro-RO" w:eastAsia="en-US" w:bidi="ar-SA"/>
        </w:rPr>
        <w:lastRenderedPageBreak/>
        <w:t xml:space="preserve">În stabilirea  </w:t>
      </w:r>
      <w:r w:rsidRPr="00EB62EA">
        <w:rPr>
          <w:rFonts w:ascii="Trebuchet MS" w:eastAsia="Calibri" w:hAnsi="Trebuchet MS" w:cs="Trebuchet MS"/>
          <w:color w:val="auto"/>
          <w:kern w:val="0"/>
          <w:sz w:val="22"/>
          <w:szCs w:val="22"/>
          <w:lang w:eastAsia="en-US" w:bidi="ar-SA"/>
        </w:rPr>
        <w:t xml:space="preserve">tipurile de acțiuni eligibile și neeligibile, s-a ținut cont de următoarele: </w:t>
      </w:r>
    </w:p>
    <w:p w:rsidR="00EB62EA" w:rsidRPr="00EB62EA" w:rsidRDefault="00EB62EA" w:rsidP="00EB62EA">
      <w:pPr>
        <w:autoSpaceDE w:val="0"/>
        <w:autoSpaceDN w:val="0"/>
        <w:adjustRightInd w:val="0"/>
        <w:spacing w:line="276" w:lineRule="auto"/>
        <w:jc w:val="both"/>
        <w:rPr>
          <w:rFonts w:ascii="Trebuchet MS" w:eastAsia="Calibri" w:hAnsi="Trebuchet MS" w:cs="Trebuchet MS"/>
          <w:color w:val="auto"/>
          <w:kern w:val="0"/>
          <w:sz w:val="22"/>
          <w:szCs w:val="22"/>
          <w:lang w:eastAsia="en-US" w:bidi="ar-SA"/>
        </w:rPr>
      </w:pPr>
      <w:r w:rsidRPr="00EB62EA">
        <w:rPr>
          <w:rFonts w:ascii="Trebuchet MS" w:eastAsia="Calibri" w:hAnsi="Trebuchet MS" w:cs="Trebuchet MS"/>
          <w:color w:val="auto"/>
          <w:kern w:val="0"/>
          <w:sz w:val="22"/>
          <w:szCs w:val="22"/>
          <w:lang w:eastAsia="en-US" w:bidi="ar-SA"/>
        </w:rPr>
        <w:t xml:space="preserve">- art. 65 din Reg. (UE) nr. 1303/2013; </w:t>
      </w:r>
    </w:p>
    <w:p w:rsidR="00EB62EA" w:rsidRPr="00EB62EA" w:rsidRDefault="00EB62EA" w:rsidP="00EB62EA">
      <w:pPr>
        <w:autoSpaceDE w:val="0"/>
        <w:autoSpaceDN w:val="0"/>
        <w:adjustRightInd w:val="0"/>
        <w:spacing w:line="276" w:lineRule="auto"/>
        <w:jc w:val="both"/>
        <w:rPr>
          <w:rFonts w:ascii="Trebuchet MS" w:eastAsia="Calibri" w:hAnsi="Trebuchet MS" w:cs="Trebuchet MS"/>
          <w:color w:val="auto"/>
          <w:kern w:val="0"/>
          <w:sz w:val="22"/>
          <w:szCs w:val="22"/>
          <w:lang w:eastAsia="en-US" w:bidi="ar-SA"/>
        </w:rPr>
      </w:pPr>
      <w:r w:rsidRPr="00EB62EA">
        <w:rPr>
          <w:rFonts w:ascii="Trebuchet MS" w:eastAsia="Calibri" w:hAnsi="Trebuchet MS" w:cs="Trebuchet MS"/>
          <w:color w:val="auto"/>
          <w:kern w:val="0"/>
          <w:sz w:val="22"/>
          <w:szCs w:val="22"/>
          <w:lang w:eastAsia="en-US" w:bidi="ar-SA"/>
        </w:rPr>
        <w:t xml:space="preserve">- art. 69(3) din Reg. (UE) nr. 1303/2013; </w:t>
      </w:r>
    </w:p>
    <w:p w:rsidR="00EB62EA" w:rsidRPr="00EB62EA" w:rsidRDefault="00EB62EA" w:rsidP="00EB62EA">
      <w:pPr>
        <w:autoSpaceDE w:val="0"/>
        <w:autoSpaceDN w:val="0"/>
        <w:adjustRightInd w:val="0"/>
        <w:spacing w:line="276" w:lineRule="auto"/>
        <w:jc w:val="both"/>
        <w:rPr>
          <w:rFonts w:ascii="Trebuchet MS" w:eastAsia="Calibri" w:hAnsi="Trebuchet MS" w:cs="Trebuchet MS"/>
          <w:color w:val="auto"/>
          <w:kern w:val="0"/>
          <w:sz w:val="22"/>
          <w:szCs w:val="22"/>
          <w:lang w:eastAsia="en-US" w:bidi="ar-SA"/>
        </w:rPr>
      </w:pPr>
      <w:r w:rsidRPr="00EB62EA">
        <w:rPr>
          <w:rFonts w:ascii="Trebuchet MS" w:eastAsia="Calibri" w:hAnsi="Trebuchet MS" w:cs="Trebuchet MS"/>
          <w:color w:val="auto"/>
          <w:kern w:val="0"/>
          <w:sz w:val="22"/>
          <w:szCs w:val="22"/>
          <w:lang w:eastAsia="en-US" w:bidi="ar-SA"/>
        </w:rPr>
        <w:t xml:space="preserve">- art. 45 din Reg. (UE) nr. 1305/2013; </w:t>
      </w:r>
    </w:p>
    <w:p w:rsidR="00EB62EA" w:rsidRPr="00EB62EA" w:rsidRDefault="00EB62EA" w:rsidP="00EB62EA">
      <w:pPr>
        <w:autoSpaceDE w:val="0"/>
        <w:autoSpaceDN w:val="0"/>
        <w:adjustRightInd w:val="0"/>
        <w:spacing w:line="276" w:lineRule="auto"/>
        <w:jc w:val="both"/>
        <w:rPr>
          <w:rFonts w:ascii="Trebuchet MS" w:eastAsia="Calibri" w:hAnsi="Trebuchet MS" w:cs="Trebuchet MS"/>
          <w:color w:val="auto"/>
          <w:kern w:val="0"/>
          <w:sz w:val="22"/>
          <w:szCs w:val="22"/>
          <w:lang w:eastAsia="en-US" w:bidi="ar-SA"/>
        </w:rPr>
      </w:pPr>
      <w:r w:rsidRPr="00EB62EA">
        <w:rPr>
          <w:rFonts w:ascii="Trebuchet MS" w:eastAsia="Calibri" w:hAnsi="Trebuchet MS" w:cs="Trebuchet MS"/>
          <w:color w:val="auto"/>
          <w:kern w:val="0"/>
          <w:sz w:val="22"/>
          <w:szCs w:val="22"/>
          <w:lang w:eastAsia="en-US" w:bidi="ar-SA"/>
        </w:rPr>
        <w:t xml:space="preserve">- art. 13 din Reg. (UE) nr. 807/2014; </w:t>
      </w:r>
    </w:p>
    <w:p w:rsidR="00EB62EA" w:rsidRPr="00EB62EA" w:rsidRDefault="00EB62EA" w:rsidP="00EB62EA">
      <w:pPr>
        <w:autoSpaceDE w:val="0"/>
        <w:autoSpaceDN w:val="0"/>
        <w:adjustRightInd w:val="0"/>
        <w:spacing w:line="276" w:lineRule="auto"/>
        <w:jc w:val="both"/>
        <w:rPr>
          <w:rFonts w:ascii="Trebuchet MS" w:eastAsia="Calibri" w:hAnsi="Trebuchet MS" w:cs="Trebuchet MS"/>
          <w:color w:val="auto"/>
          <w:kern w:val="0"/>
          <w:sz w:val="22"/>
          <w:szCs w:val="22"/>
          <w:lang w:eastAsia="en-US" w:bidi="ar-SA"/>
        </w:rPr>
      </w:pPr>
      <w:r w:rsidRPr="00EB62EA">
        <w:rPr>
          <w:rFonts w:ascii="Trebuchet MS" w:eastAsia="Calibri" w:hAnsi="Trebuchet MS" w:cs="Trebuchet MS"/>
          <w:color w:val="auto"/>
          <w:kern w:val="0"/>
          <w:sz w:val="22"/>
          <w:szCs w:val="22"/>
          <w:lang w:eastAsia="en-US" w:bidi="ar-SA"/>
        </w:rPr>
        <w:t xml:space="preserve">- prevederile din PNDR – cap. 8.1 și fișa tehnică a sub-măsurii 19.2; </w:t>
      </w:r>
    </w:p>
    <w:p w:rsidR="00EB62EA" w:rsidRPr="00EB62EA" w:rsidRDefault="00EB62EA" w:rsidP="00EB62EA">
      <w:pPr>
        <w:autoSpaceDE w:val="0"/>
        <w:autoSpaceDN w:val="0"/>
        <w:adjustRightInd w:val="0"/>
        <w:spacing w:line="276" w:lineRule="auto"/>
        <w:jc w:val="both"/>
        <w:rPr>
          <w:rFonts w:ascii="Trebuchet MS" w:eastAsia="Calibri" w:hAnsi="Trebuchet MS" w:cs="Trebuchet MS"/>
          <w:color w:val="auto"/>
          <w:kern w:val="0"/>
          <w:sz w:val="22"/>
          <w:szCs w:val="22"/>
          <w:lang w:eastAsia="en-US" w:bidi="ar-SA"/>
        </w:rPr>
      </w:pPr>
      <w:r w:rsidRPr="00EB62EA">
        <w:rPr>
          <w:rFonts w:ascii="Trebuchet MS" w:eastAsia="Calibri" w:hAnsi="Trebuchet MS" w:cs="Trebuchet MS"/>
          <w:color w:val="auto"/>
          <w:kern w:val="0"/>
          <w:sz w:val="22"/>
          <w:szCs w:val="22"/>
          <w:lang w:eastAsia="en-US" w:bidi="ar-SA"/>
        </w:rPr>
        <w:t xml:space="preserve">- aspectele privind demarcarea și complementaritatea operațiunilor; </w:t>
      </w:r>
    </w:p>
    <w:p w:rsidR="00EB62EA" w:rsidRPr="00EB62EA" w:rsidRDefault="00EB62EA" w:rsidP="00EB62EA">
      <w:pPr>
        <w:autoSpaceDE w:val="0"/>
        <w:autoSpaceDN w:val="0"/>
        <w:adjustRightInd w:val="0"/>
        <w:spacing w:line="276" w:lineRule="auto"/>
        <w:jc w:val="both"/>
        <w:rPr>
          <w:rFonts w:ascii="Trebuchet MS" w:eastAsia="Calibri" w:hAnsi="Trebuchet MS" w:cs="Times New Roman"/>
          <w:b/>
          <w:color w:val="auto"/>
          <w:kern w:val="0"/>
          <w:sz w:val="22"/>
          <w:szCs w:val="22"/>
          <w:lang w:val="ro-RO" w:eastAsia="en-US" w:bidi="ar-SA"/>
        </w:rPr>
      </w:pPr>
      <w:r w:rsidRPr="00EB62EA">
        <w:rPr>
          <w:rFonts w:ascii="Trebuchet MS" w:eastAsia="Calibri" w:hAnsi="Trebuchet MS" w:cs="Trebuchet MS"/>
          <w:color w:val="auto"/>
          <w:kern w:val="0"/>
          <w:lang w:eastAsia="en-US" w:bidi="ar-SA"/>
        </w:rPr>
        <w:t xml:space="preserve">- respectarea schemei de ajutor de minimis (dacă este cazul). </w:t>
      </w:r>
    </w:p>
    <w:p w:rsidR="00EB62EA" w:rsidRPr="00EB62EA" w:rsidRDefault="00EB62EA" w:rsidP="00EB62EA">
      <w:pPr>
        <w:autoSpaceDE w:val="0"/>
        <w:autoSpaceDN w:val="0"/>
        <w:adjustRightInd w:val="0"/>
        <w:spacing w:line="276" w:lineRule="auto"/>
        <w:jc w:val="both"/>
        <w:rPr>
          <w:rFonts w:ascii="Trebuchet MS" w:eastAsia="Calibri" w:hAnsi="Trebuchet MS" w:cs="Times New Roman"/>
          <w:b/>
          <w:color w:val="auto"/>
          <w:kern w:val="0"/>
          <w:sz w:val="22"/>
          <w:szCs w:val="22"/>
          <w:lang w:val="ro-RO" w:eastAsia="en-US" w:bidi="ar-SA"/>
        </w:rPr>
      </w:pPr>
      <w:r w:rsidRPr="00EB62EA">
        <w:rPr>
          <w:rFonts w:ascii="Trebuchet MS" w:eastAsia="Calibri" w:hAnsi="Trebuchet MS" w:cs="Times New Roman"/>
          <w:b/>
          <w:color w:val="auto"/>
          <w:kern w:val="0"/>
          <w:sz w:val="22"/>
          <w:szCs w:val="22"/>
          <w:lang w:val="ro-RO" w:eastAsia="en-US" w:bidi="ar-SA"/>
        </w:rPr>
        <w:t>Acțiuni eligibile:</w:t>
      </w:r>
    </w:p>
    <w:p w:rsidR="00EB62EA" w:rsidRPr="00EB62EA" w:rsidRDefault="00EB62EA" w:rsidP="00EB62EA">
      <w:pPr>
        <w:numPr>
          <w:ilvl w:val="0"/>
          <w:numId w:val="7"/>
        </w:numPr>
        <w:autoSpaceDE w:val="0"/>
        <w:autoSpaceDN w:val="0"/>
        <w:adjustRightInd w:val="0"/>
        <w:spacing w:after="160" w:line="254" w:lineRule="auto"/>
        <w:jc w:val="both"/>
        <w:rPr>
          <w:rFonts w:ascii="Trebuchet MS" w:eastAsia="Calibri" w:hAnsi="Trebuchet MS" w:cs="Times New Roman"/>
          <w:b/>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 xml:space="preserve">înființarea și dotarea structurilor de tip after-school numai a celor din afara incintei școlilor din mediul rural, </w:t>
      </w:r>
    </w:p>
    <w:p w:rsidR="00EB62EA" w:rsidRPr="00EB62EA" w:rsidRDefault="00EB62EA" w:rsidP="00EB62EA">
      <w:pPr>
        <w:autoSpaceDE w:val="0"/>
        <w:autoSpaceDN w:val="0"/>
        <w:adjustRightInd w:val="0"/>
        <w:spacing w:line="276" w:lineRule="auto"/>
        <w:jc w:val="both"/>
        <w:rPr>
          <w:rFonts w:ascii="Trebuchet MS" w:eastAsia="Calibri" w:hAnsi="Trebuchet MS" w:cs="Times New Roman"/>
          <w:b/>
          <w:color w:val="auto"/>
          <w:kern w:val="0"/>
          <w:sz w:val="22"/>
          <w:szCs w:val="22"/>
          <w:lang w:val="ro-RO" w:eastAsia="en-US" w:bidi="ar-SA"/>
        </w:rPr>
      </w:pPr>
      <w:r w:rsidRPr="00EB62EA">
        <w:rPr>
          <w:rFonts w:ascii="Trebuchet MS" w:eastAsia="Calibri" w:hAnsi="Trebuchet MS" w:cs="Times New Roman"/>
          <w:b/>
          <w:color w:val="auto"/>
          <w:kern w:val="0"/>
          <w:sz w:val="22"/>
          <w:szCs w:val="22"/>
          <w:lang w:val="ro-RO" w:eastAsia="en-US" w:bidi="ar-SA"/>
        </w:rPr>
        <w:t>Acțiuni neeligibile:</w:t>
      </w:r>
    </w:p>
    <w:p w:rsidR="00EB62EA" w:rsidRPr="00EB62EA" w:rsidRDefault="00EB62EA" w:rsidP="00EB62EA">
      <w:pPr>
        <w:numPr>
          <w:ilvl w:val="0"/>
          <w:numId w:val="7"/>
        </w:numPr>
        <w:autoSpaceDE w:val="0"/>
        <w:autoSpaceDN w:val="0"/>
        <w:adjustRightInd w:val="0"/>
        <w:spacing w:after="160" w:line="254" w:lineRule="auto"/>
        <w:contextualSpacing/>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 xml:space="preserve">Contribuția în natură; </w:t>
      </w:r>
    </w:p>
    <w:p w:rsidR="00EB62EA" w:rsidRPr="00EB62EA" w:rsidRDefault="00EB62EA" w:rsidP="00EB62EA">
      <w:pPr>
        <w:numPr>
          <w:ilvl w:val="0"/>
          <w:numId w:val="7"/>
        </w:numPr>
        <w:autoSpaceDE w:val="0"/>
        <w:autoSpaceDN w:val="0"/>
        <w:adjustRightInd w:val="0"/>
        <w:spacing w:after="160" w:line="254" w:lineRule="auto"/>
        <w:contextualSpacing/>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 xml:space="preserve">Costuri privind închirierea de mașini, utilaje, instalații și echipamente; </w:t>
      </w:r>
    </w:p>
    <w:p w:rsidR="00EB62EA" w:rsidRPr="00EB62EA" w:rsidRDefault="00EB62EA" w:rsidP="00EB62EA">
      <w:pPr>
        <w:numPr>
          <w:ilvl w:val="0"/>
          <w:numId w:val="7"/>
        </w:numPr>
        <w:autoSpaceDE w:val="0"/>
        <w:autoSpaceDN w:val="0"/>
        <w:adjustRightInd w:val="0"/>
        <w:spacing w:after="160" w:line="254" w:lineRule="auto"/>
        <w:contextualSpacing/>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 xml:space="preserve">Costuri operaționale inclusiv costuri de întreținere și chirie. </w:t>
      </w:r>
    </w:p>
    <w:p w:rsidR="00EB62EA" w:rsidRPr="00EB62EA" w:rsidRDefault="00EB62EA" w:rsidP="00EB62EA">
      <w:pPr>
        <w:autoSpaceDE w:val="0"/>
        <w:autoSpaceDN w:val="0"/>
        <w:adjustRightInd w:val="0"/>
        <w:spacing w:line="276" w:lineRule="auto"/>
        <w:jc w:val="both"/>
        <w:rPr>
          <w:rFonts w:ascii="Trebuchet MS" w:eastAsia="Calibri" w:hAnsi="Trebuchet MS" w:cs="Times New Roman"/>
          <w:color w:val="auto"/>
          <w:kern w:val="0"/>
          <w:sz w:val="22"/>
          <w:szCs w:val="22"/>
          <w:lang w:val="ro-RO" w:eastAsia="en-US" w:bidi="ar-SA"/>
        </w:rPr>
      </w:pPr>
    </w:p>
    <w:p w:rsidR="00EB62EA" w:rsidRPr="00EB62EA" w:rsidRDefault="00EB62EA" w:rsidP="00EB62EA">
      <w:pPr>
        <w:spacing w:line="276" w:lineRule="auto"/>
        <w:jc w:val="both"/>
        <w:rPr>
          <w:rFonts w:ascii="Trebuchet MS" w:eastAsia="Calibri" w:hAnsi="Trebuchet MS" w:cs="Times New Roman"/>
          <w:b/>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 xml:space="preserve">7. </w:t>
      </w:r>
      <w:r w:rsidRPr="00EB62EA">
        <w:rPr>
          <w:rFonts w:ascii="Trebuchet MS" w:eastAsia="Calibri" w:hAnsi="Trebuchet MS" w:cs="Times New Roman"/>
          <w:b/>
          <w:color w:val="auto"/>
          <w:kern w:val="0"/>
          <w:sz w:val="22"/>
          <w:szCs w:val="22"/>
          <w:lang w:val="ro-RO" w:eastAsia="en-US" w:bidi="ar-SA"/>
        </w:rPr>
        <w:t>Condiții de eligibilitate</w:t>
      </w:r>
    </w:p>
    <w:p w:rsidR="00EB62EA" w:rsidRPr="00EB62EA" w:rsidRDefault="00EB62EA" w:rsidP="00EB62EA">
      <w:pPr>
        <w:autoSpaceDE w:val="0"/>
        <w:autoSpaceDN w:val="0"/>
        <w:adjustRightInd w:val="0"/>
        <w:spacing w:line="276" w:lineRule="auto"/>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 xml:space="preserve">Condiții de eligibilitate </w:t>
      </w:r>
    </w:p>
    <w:p w:rsidR="00EB62EA" w:rsidRPr="00EB62EA" w:rsidRDefault="00EB62EA" w:rsidP="00EB62EA">
      <w:pPr>
        <w:numPr>
          <w:ilvl w:val="0"/>
          <w:numId w:val="8"/>
        </w:numPr>
        <w:autoSpaceDE w:val="0"/>
        <w:autoSpaceDN w:val="0"/>
        <w:adjustRightInd w:val="0"/>
        <w:spacing w:after="160" w:line="254" w:lineRule="auto"/>
        <w:contextualSpacing/>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 xml:space="preserve">Solicitantul trebuie să se încadreze în categoria beneficiarilor eligibili; </w:t>
      </w:r>
    </w:p>
    <w:p w:rsidR="00EB62EA" w:rsidRPr="00EB62EA" w:rsidRDefault="00EB62EA" w:rsidP="00EB62EA">
      <w:pPr>
        <w:numPr>
          <w:ilvl w:val="0"/>
          <w:numId w:val="8"/>
        </w:numPr>
        <w:tabs>
          <w:tab w:val="left" w:pos="567"/>
        </w:tabs>
        <w:spacing w:after="160" w:line="254" w:lineRule="auto"/>
        <w:jc w:val="both"/>
        <w:rPr>
          <w:rFonts w:ascii="Trebuchet MS" w:eastAsia="Calibri" w:hAnsi="Trebuchet MS" w:cs="Times New Roman"/>
          <w:color w:val="auto"/>
          <w:kern w:val="0"/>
          <w:sz w:val="22"/>
          <w:szCs w:val="22"/>
          <w:lang w:eastAsia="ro-RO" w:bidi="ar-SA"/>
        </w:rPr>
      </w:pPr>
      <w:r w:rsidRPr="00EB62EA">
        <w:rPr>
          <w:rFonts w:ascii="Trebuchet MS" w:eastAsia="Calibri" w:hAnsi="Trebuchet MS" w:cs="Times New Roman"/>
          <w:color w:val="auto"/>
          <w:kern w:val="0"/>
          <w:sz w:val="22"/>
          <w:szCs w:val="22"/>
          <w:lang w:eastAsia="ro-RO" w:bidi="ar-SA"/>
        </w:rPr>
        <w:t>Investiția trebuie să se realizeze în cadrul teritoriului GAL Valea Șomuzului</w:t>
      </w:r>
    </w:p>
    <w:p w:rsidR="00EB62EA" w:rsidRPr="00EB62EA" w:rsidRDefault="00EB62EA" w:rsidP="00EB62EA">
      <w:pPr>
        <w:numPr>
          <w:ilvl w:val="0"/>
          <w:numId w:val="8"/>
        </w:numPr>
        <w:autoSpaceDE w:val="0"/>
        <w:autoSpaceDN w:val="0"/>
        <w:adjustRightInd w:val="0"/>
        <w:spacing w:after="160" w:line="254" w:lineRule="auto"/>
        <w:contextualSpacing/>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 xml:space="preserve">Solicitantul trebuie să se angajeze să asigure întreținerea/mentenanța investiţiei pe o perioadă de minim 5 ani de la ultima plată; </w:t>
      </w:r>
    </w:p>
    <w:p w:rsidR="00EB62EA" w:rsidRPr="00EB62EA" w:rsidRDefault="00EB62EA" w:rsidP="00EB62EA">
      <w:pPr>
        <w:numPr>
          <w:ilvl w:val="0"/>
          <w:numId w:val="8"/>
        </w:numPr>
        <w:autoSpaceDE w:val="0"/>
        <w:autoSpaceDN w:val="0"/>
        <w:adjustRightInd w:val="0"/>
        <w:spacing w:after="160" w:line="254" w:lineRule="auto"/>
        <w:contextualSpacing/>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 xml:space="preserve">Solicitantul trebuie să nu fie în insolvenţă sau incapacitate de plată; </w:t>
      </w:r>
    </w:p>
    <w:p w:rsidR="00EB62EA" w:rsidRPr="00EB62EA" w:rsidRDefault="00EB62EA" w:rsidP="00EB62EA">
      <w:pPr>
        <w:numPr>
          <w:ilvl w:val="0"/>
          <w:numId w:val="8"/>
        </w:numPr>
        <w:autoSpaceDE w:val="0"/>
        <w:autoSpaceDN w:val="0"/>
        <w:adjustRightInd w:val="0"/>
        <w:spacing w:after="160" w:line="254" w:lineRule="auto"/>
        <w:contextualSpacing/>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 xml:space="preserve">Investiția trebuie să se încadreze în tipul de sprijin prevăzut prin sub-măsură; </w:t>
      </w:r>
    </w:p>
    <w:p w:rsidR="00EB62EA" w:rsidRPr="00EB62EA" w:rsidRDefault="00EB62EA" w:rsidP="00EB62EA">
      <w:pPr>
        <w:numPr>
          <w:ilvl w:val="0"/>
          <w:numId w:val="8"/>
        </w:numPr>
        <w:autoSpaceDE w:val="0"/>
        <w:autoSpaceDN w:val="0"/>
        <w:adjustRightInd w:val="0"/>
        <w:spacing w:after="160" w:line="254" w:lineRule="auto"/>
        <w:contextualSpacing/>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 xml:space="preserve">Investiția să se realizeze în spațiul rural; </w:t>
      </w:r>
    </w:p>
    <w:p w:rsidR="00EB62EA" w:rsidRPr="00EB62EA" w:rsidRDefault="00EB62EA" w:rsidP="00EB62EA">
      <w:pPr>
        <w:numPr>
          <w:ilvl w:val="0"/>
          <w:numId w:val="8"/>
        </w:numPr>
        <w:autoSpaceDE w:val="0"/>
        <w:autoSpaceDN w:val="0"/>
        <w:adjustRightInd w:val="0"/>
        <w:spacing w:after="160" w:line="254" w:lineRule="auto"/>
        <w:contextualSpacing/>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 xml:space="preserve">Investiția trebuie să fie în corelare cu orice strategie de dezvoltare națională/regională/județeană/locală aprobată, corespunzătoare domeniului de investiții; </w:t>
      </w:r>
    </w:p>
    <w:p w:rsidR="00EB62EA" w:rsidRPr="00EB62EA" w:rsidRDefault="00EB62EA" w:rsidP="00EB62EA">
      <w:pPr>
        <w:numPr>
          <w:ilvl w:val="0"/>
          <w:numId w:val="8"/>
        </w:numPr>
        <w:autoSpaceDE w:val="0"/>
        <w:autoSpaceDN w:val="0"/>
        <w:adjustRightInd w:val="0"/>
        <w:spacing w:after="160" w:line="254" w:lineRule="auto"/>
        <w:contextualSpacing/>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 xml:space="preserve">Investiția trebuie să respecte Planul Urbanistic General; </w:t>
      </w:r>
    </w:p>
    <w:p w:rsidR="00EB62EA" w:rsidRPr="00EB62EA" w:rsidRDefault="00EB62EA" w:rsidP="00EB62EA">
      <w:pPr>
        <w:numPr>
          <w:ilvl w:val="0"/>
          <w:numId w:val="8"/>
        </w:numPr>
        <w:autoSpaceDE w:val="0"/>
        <w:autoSpaceDN w:val="0"/>
        <w:adjustRightInd w:val="0"/>
        <w:spacing w:after="160" w:line="276" w:lineRule="auto"/>
        <w:contextualSpacing/>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 xml:space="preserve">Investiția trebuie să demonstreze necesitatea, oportunitatea și potențialul economic al acesteia; </w:t>
      </w:r>
    </w:p>
    <w:p w:rsidR="00EB62EA" w:rsidRPr="00EB62EA" w:rsidRDefault="00EB62EA" w:rsidP="00EB62EA">
      <w:pPr>
        <w:numPr>
          <w:ilvl w:val="0"/>
          <w:numId w:val="8"/>
        </w:numPr>
        <w:autoSpaceDE w:val="0"/>
        <w:autoSpaceDN w:val="0"/>
        <w:adjustRightInd w:val="0"/>
        <w:spacing w:after="160" w:line="276" w:lineRule="auto"/>
        <w:contextualSpacing/>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Pentru asigurarea sustenabilității proiectelor depuse în cadrul acestei măsuri care vizează înființarea sau îmbunătățirea infrastructurii sociale, beneficiarii pot</w:t>
      </w:r>
    </w:p>
    <w:p w:rsidR="00EB62EA" w:rsidRPr="00EB62EA" w:rsidRDefault="00EB62EA" w:rsidP="00EB62EA">
      <w:pPr>
        <w:numPr>
          <w:ilvl w:val="0"/>
          <w:numId w:val="8"/>
        </w:numPr>
        <w:autoSpaceDE w:val="0"/>
        <w:autoSpaceDN w:val="0"/>
        <w:adjustRightInd w:val="0"/>
        <w:spacing w:after="160" w:line="276" w:lineRule="auto"/>
        <w:contextualSpacing/>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solicita finanțare prin Axa 5 POCU, prin depunerea unui proiect distinct cu respectarea</w:t>
      </w:r>
    </w:p>
    <w:p w:rsidR="00EB62EA" w:rsidRPr="00EB62EA" w:rsidRDefault="00EB62EA" w:rsidP="00EB62EA">
      <w:pPr>
        <w:numPr>
          <w:ilvl w:val="0"/>
          <w:numId w:val="8"/>
        </w:numPr>
        <w:autoSpaceDE w:val="0"/>
        <w:autoSpaceDN w:val="0"/>
        <w:adjustRightInd w:val="0"/>
        <w:spacing w:after="160" w:line="276" w:lineRule="auto"/>
        <w:contextualSpacing/>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condițiilor specifice POCU</w:t>
      </w:r>
    </w:p>
    <w:p w:rsidR="00EB62EA" w:rsidRPr="00EB62EA" w:rsidRDefault="00EB62EA" w:rsidP="00EB62EA">
      <w:pPr>
        <w:numPr>
          <w:ilvl w:val="0"/>
          <w:numId w:val="8"/>
        </w:numPr>
        <w:autoSpaceDE w:val="0"/>
        <w:autoSpaceDN w:val="0"/>
        <w:adjustRightInd w:val="0"/>
        <w:spacing w:after="160" w:line="276" w:lineRule="auto"/>
        <w:contextualSpacing/>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 xml:space="preserve">Solicitantul trebuie să demonstreze operaționalizarea structurii de către o entitate ca furnizor de servicii sociale </w:t>
      </w:r>
    </w:p>
    <w:p w:rsidR="00EB62EA" w:rsidRPr="00EB62EA" w:rsidRDefault="00EB62EA" w:rsidP="00EB62EA">
      <w:pPr>
        <w:numPr>
          <w:ilvl w:val="0"/>
          <w:numId w:val="8"/>
        </w:numPr>
        <w:autoSpaceDE w:val="0"/>
        <w:autoSpaceDN w:val="0"/>
        <w:adjustRightInd w:val="0"/>
        <w:spacing w:after="160" w:line="276" w:lineRule="auto"/>
        <w:contextualSpacing/>
        <w:jc w:val="both"/>
        <w:rPr>
          <w:rFonts w:ascii="Trebuchet MS" w:eastAsia="Calibri" w:hAnsi="Trebuchet MS" w:cs="Times New Roman"/>
          <w:color w:val="auto"/>
          <w:kern w:val="0"/>
          <w:sz w:val="22"/>
          <w:szCs w:val="22"/>
          <w:lang w:val="ro-RO" w:eastAsia="en-US" w:bidi="ar-SA"/>
        </w:rPr>
      </w:pPr>
    </w:p>
    <w:p w:rsidR="00EB62EA" w:rsidRPr="00EB62EA" w:rsidRDefault="00EB62EA" w:rsidP="00EB62EA">
      <w:pPr>
        <w:numPr>
          <w:ilvl w:val="0"/>
          <w:numId w:val="8"/>
        </w:numPr>
        <w:autoSpaceDE w:val="0"/>
        <w:autoSpaceDN w:val="0"/>
        <w:adjustRightInd w:val="0"/>
        <w:spacing w:after="160" w:line="276" w:lineRule="auto"/>
        <w:contextualSpacing/>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infrastructura socială nu trebuie să fie de tip rezidențial</w:t>
      </w:r>
    </w:p>
    <w:p w:rsidR="00EB62EA" w:rsidRPr="00EB62EA" w:rsidRDefault="00EB62EA" w:rsidP="00EB62EA">
      <w:pPr>
        <w:spacing w:line="276" w:lineRule="auto"/>
        <w:jc w:val="both"/>
        <w:rPr>
          <w:rFonts w:ascii="Trebuchet MS" w:eastAsia="Calibri" w:hAnsi="Trebuchet MS" w:cs="Times New Roman"/>
          <w:b/>
          <w:color w:val="auto"/>
          <w:kern w:val="0"/>
          <w:sz w:val="22"/>
          <w:szCs w:val="22"/>
          <w:lang w:val="ro-RO" w:eastAsia="en-US" w:bidi="ar-SA"/>
        </w:rPr>
      </w:pPr>
      <w:r w:rsidRPr="00EB62EA">
        <w:rPr>
          <w:rFonts w:ascii="Trebuchet MS" w:eastAsia="Calibri" w:hAnsi="Trebuchet MS" w:cs="Times New Roman"/>
          <w:b/>
          <w:color w:val="auto"/>
          <w:kern w:val="0"/>
          <w:sz w:val="22"/>
          <w:szCs w:val="22"/>
          <w:lang w:val="ro-RO" w:eastAsia="en-US" w:bidi="ar-SA"/>
        </w:rPr>
        <w:t>8. Criterii de selecție</w:t>
      </w:r>
    </w:p>
    <w:p w:rsidR="00EB62EA" w:rsidRPr="00EB62EA" w:rsidRDefault="00EB62EA" w:rsidP="00EB62EA">
      <w:pPr>
        <w:spacing w:line="276" w:lineRule="auto"/>
        <w:ind w:firstLine="720"/>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Criteriile de selecție vor fi stabilite pe baza următoarelor principii</w:t>
      </w:r>
    </w:p>
    <w:p w:rsidR="00EB62EA" w:rsidRPr="00EB62EA" w:rsidRDefault="00EB62EA" w:rsidP="00EB62EA">
      <w:pPr>
        <w:spacing w:line="276" w:lineRule="auto"/>
        <w:jc w:val="both"/>
        <w:rPr>
          <w:rFonts w:ascii="Trebuchet MS" w:eastAsia="Calibri" w:hAnsi="Trebuchet MS" w:cs="Times New Roman"/>
          <w:b/>
          <w:color w:val="auto"/>
          <w:kern w:val="0"/>
          <w:sz w:val="22"/>
          <w:szCs w:val="22"/>
          <w:lang w:val="ro-RO" w:eastAsia="en-US" w:bidi="ar-SA"/>
        </w:rPr>
      </w:pPr>
      <w:r w:rsidRPr="00EB62EA">
        <w:rPr>
          <w:rFonts w:ascii="Trebuchet MS" w:eastAsia="Calibri" w:hAnsi="Trebuchet MS" w:cs="Times New Roman"/>
          <w:b/>
          <w:color w:val="auto"/>
          <w:kern w:val="0"/>
          <w:sz w:val="22"/>
          <w:szCs w:val="22"/>
          <w:lang w:val="ro-RO" w:eastAsia="en-US" w:bidi="ar-SA"/>
        </w:rPr>
        <w:t>Criterii generale conform PNDR 2014-2020</w:t>
      </w:r>
    </w:p>
    <w:p w:rsidR="00EB62EA" w:rsidRPr="00EB62EA" w:rsidRDefault="00EB62EA" w:rsidP="00EB62EA">
      <w:pPr>
        <w:numPr>
          <w:ilvl w:val="0"/>
          <w:numId w:val="8"/>
        </w:numPr>
        <w:autoSpaceDE w:val="0"/>
        <w:autoSpaceDN w:val="0"/>
        <w:adjustRightInd w:val="0"/>
        <w:spacing w:after="160" w:line="254" w:lineRule="auto"/>
        <w:contextualSpacing/>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Principiul gradului de acoperire a populației deservite.</w:t>
      </w:r>
    </w:p>
    <w:p w:rsidR="00EB62EA" w:rsidRPr="00EB62EA" w:rsidRDefault="00EB62EA" w:rsidP="00EB62EA">
      <w:pPr>
        <w:numPr>
          <w:ilvl w:val="0"/>
          <w:numId w:val="8"/>
        </w:numPr>
        <w:autoSpaceDE w:val="0"/>
        <w:autoSpaceDN w:val="0"/>
        <w:adjustRightInd w:val="0"/>
        <w:spacing w:after="160" w:line="254" w:lineRule="auto"/>
        <w:contextualSpacing/>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lastRenderedPageBreak/>
        <w:t xml:space="preserve">Principiul prioritizării tipului de investiție în funcție de gradul de dezvoltare socio-economică a zonei determinată în baza studiilor de specialitate – Studiu privind stabilirea potențialului socio-economic de dezvoltare a zonelor rurale asumat de către MADR; </w:t>
      </w:r>
    </w:p>
    <w:p w:rsidR="00EB62EA" w:rsidRPr="00EB62EA" w:rsidRDefault="00EB62EA" w:rsidP="00EB62EA">
      <w:pPr>
        <w:autoSpaceDE w:val="0"/>
        <w:autoSpaceDN w:val="0"/>
        <w:adjustRightInd w:val="0"/>
        <w:spacing w:line="276" w:lineRule="auto"/>
        <w:jc w:val="both"/>
        <w:rPr>
          <w:rFonts w:ascii="Trebuchet MS" w:eastAsia="Calibri" w:hAnsi="Trebuchet MS" w:cs="Times New Roman"/>
          <w:b/>
          <w:color w:val="auto"/>
          <w:kern w:val="0"/>
          <w:sz w:val="22"/>
          <w:szCs w:val="22"/>
          <w:lang w:val="ro-RO" w:eastAsia="en-US" w:bidi="ar-SA"/>
        </w:rPr>
      </w:pPr>
      <w:r w:rsidRPr="00EB62EA">
        <w:rPr>
          <w:rFonts w:ascii="Trebuchet MS" w:eastAsia="Calibri" w:hAnsi="Trebuchet MS" w:cs="Times New Roman"/>
          <w:b/>
          <w:color w:val="auto"/>
          <w:kern w:val="0"/>
          <w:sz w:val="22"/>
          <w:szCs w:val="22"/>
          <w:lang w:val="ro-RO" w:eastAsia="en-US" w:bidi="ar-SA"/>
        </w:rPr>
        <w:t>Criterii de selecție specifice GAL Valea Șomuzului</w:t>
      </w:r>
    </w:p>
    <w:p w:rsidR="00EB62EA" w:rsidRPr="00EB62EA" w:rsidRDefault="00EB62EA" w:rsidP="00EB62EA">
      <w:pPr>
        <w:numPr>
          <w:ilvl w:val="0"/>
          <w:numId w:val="8"/>
        </w:numPr>
        <w:autoSpaceDE w:val="0"/>
        <w:autoSpaceDN w:val="0"/>
        <w:adjustRightInd w:val="0"/>
        <w:spacing w:after="160" w:line="254" w:lineRule="auto"/>
        <w:contextualSpacing/>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Proiecte care integrează soluții pentru probleme de protejare a mediului/eficiență energetică</w:t>
      </w:r>
    </w:p>
    <w:p w:rsidR="00EB62EA" w:rsidRPr="00EB62EA" w:rsidRDefault="00EB62EA" w:rsidP="00EB62EA">
      <w:pPr>
        <w:numPr>
          <w:ilvl w:val="0"/>
          <w:numId w:val="8"/>
        </w:numPr>
        <w:autoSpaceDE w:val="0"/>
        <w:autoSpaceDN w:val="0"/>
        <w:adjustRightInd w:val="0"/>
        <w:spacing w:after="160" w:line="254" w:lineRule="auto"/>
        <w:contextualSpacing/>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Proiecte care prevăd acțiuni inovative</w:t>
      </w:r>
    </w:p>
    <w:p w:rsidR="00EB62EA" w:rsidRPr="00EB62EA" w:rsidRDefault="00EB62EA" w:rsidP="00EB62EA">
      <w:pPr>
        <w:numPr>
          <w:ilvl w:val="0"/>
          <w:numId w:val="8"/>
        </w:numPr>
        <w:autoSpaceDE w:val="0"/>
        <w:autoSpaceDN w:val="0"/>
        <w:adjustRightInd w:val="0"/>
        <w:spacing w:after="160" w:line="254" w:lineRule="auto"/>
        <w:contextualSpacing/>
        <w:jc w:val="both"/>
        <w:rPr>
          <w:rFonts w:ascii="Trebuchet MS" w:eastAsia="Calibri" w:hAnsi="Trebuchet MS" w:cs="Times New Roman"/>
          <w:color w:val="auto"/>
          <w:kern w:val="0"/>
          <w:sz w:val="22"/>
          <w:szCs w:val="22"/>
          <w:lang w:val="ro-RO" w:eastAsia="en-US" w:bidi="ar-SA"/>
        </w:rPr>
      </w:pPr>
    </w:p>
    <w:p w:rsidR="00EB62EA" w:rsidRPr="00EB62EA" w:rsidRDefault="00EB62EA" w:rsidP="00EB62EA">
      <w:pPr>
        <w:spacing w:line="276" w:lineRule="auto"/>
        <w:jc w:val="both"/>
        <w:rPr>
          <w:rFonts w:ascii="Trebuchet MS" w:eastAsia="Calibri" w:hAnsi="Trebuchet MS" w:cs="Times New Roman"/>
          <w:color w:val="auto"/>
          <w:kern w:val="0"/>
          <w:sz w:val="22"/>
          <w:szCs w:val="22"/>
          <w:lang w:val="ro-RO" w:eastAsia="en-US" w:bidi="ar-SA"/>
        </w:rPr>
      </w:pPr>
    </w:p>
    <w:p w:rsidR="00EB62EA" w:rsidRPr="00EB62EA" w:rsidRDefault="00EB62EA" w:rsidP="00EB62EA">
      <w:pPr>
        <w:spacing w:line="276" w:lineRule="auto"/>
        <w:jc w:val="both"/>
        <w:rPr>
          <w:rFonts w:ascii="Trebuchet MS" w:eastAsia="Calibri" w:hAnsi="Trebuchet MS" w:cs="Times New Roman"/>
          <w:b/>
          <w:color w:val="auto"/>
          <w:kern w:val="0"/>
          <w:sz w:val="22"/>
          <w:szCs w:val="22"/>
          <w:lang w:val="ro-RO" w:eastAsia="en-US" w:bidi="ar-SA"/>
        </w:rPr>
      </w:pPr>
      <w:r w:rsidRPr="00EB62EA">
        <w:rPr>
          <w:rFonts w:ascii="Trebuchet MS" w:eastAsia="Calibri" w:hAnsi="Trebuchet MS" w:cs="Times New Roman"/>
          <w:b/>
          <w:color w:val="auto"/>
          <w:kern w:val="0"/>
          <w:sz w:val="22"/>
          <w:szCs w:val="22"/>
          <w:lang w:val="ro-RO" w:eastAsia="en-US" w:bidi="ar-SA"/>
        </w:rPr>
        <w:t>9.</w:t>
      </w:r>
      <w:r w:rsidRPr="00EB62EA">
        <w:rPr>
          <w:rFonts w:ascii="Trebuchet MS" w:eastAsia="Calibri" w:hAnsi="Trebuchet MS" w:cs="Times New Roman"/>
          <w:color w:val="auto"/>
          <w:kern w:val="0"/>
          <w:sz w:val="22"/>
          <w:szCs w:val="22"/>
          <w:lang w:val="ro-RO" w:eastAsia="en-US" w:bidi="ar-SA"/>
        </w:rPr>
        <w:t xml:space="preserve"> </w:t>
      </w:r>
      <w:r w:rsidRPr="00EB62EA">
        <w:rPr>
          <w:rFonts w:ascii="Trebuchet MS" w:eastAsia="Calibri" w:hAnsi="Trebuchet MS" w:cs="Times New Roman"/>
          <w:b/>
          <w:color w:val="auto"/>
          <w:kern w:val="0"/>
          <w:sz w:val="22"/>
          <w:szCs w:val="22"/>
          <w:lang w:val="ro-RO" w:eastAsia="en-US" w:bidi="ar-SA"/>
        </w:rPr>
        <w:t>Sume (aplicabile) și rata sprijinului</w:t>
      </w:r>
    </w:p>
    <w:p w:rsidR="00EB62EA" w:rsidRPr="00EB62EA" w:rsidRDefault="00EB62EA" w:rsidP="00EB62EA">
      <w:pPr>
        <w:spacing w:line="276" w:lineRule="auto"/>
        <w:ind w:firstLine="720"/>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Sprijinul public nerambu</w:t>
      </w:r>
      <w:r w:rsidR="008F224A">
        <w:rPr>
          <w:rFonts w:ascii="Trebuchet MS" w:eastAsia="Calibri" w:hAnsi="Trebuchet MS" w:cs="Times New Roman"/>
          <w:color w:val="auto"/>
          <w:kern w:val="0"/>
          <w:sz w:val="22"/>
          <w:szCs w:val="22"/>
          <w:lang w:val="ro-RO" w:eastAsia="en-US" w:bidi="ar-SA"/>
        </w:rPr>
        <w:t xml:space="preserve">rsabil este de 149.577,29 euro </w:t>
      </w:r>
    </w:p>
    <w:p w:rsidR="00EB62EA" w:rsidRPr="00EB62EA" w:rsidRDefault="00EB62EA" w:rsidP="00EB62EA">
      <w:pPr>
        <w:spacing w:line="276" w:lineRule="auto"/>
        <w:ind w:firstLine="720"/>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Ajutorul public acordat în cadrul acestei măsuri este maxim 100% din totalul cheltuielilor eligibile.</w:t>
      </w:r>
    </w:p>
    <w:p w:rsidR="00EB62EA" w:rsidRPr="00EB62EA" w:rsidRDefault="00EB62EA" w:rsidP="00EB62EA">
      <w:pPr>
        <w:autoSpaceDE w:val="0"/>
        <w:autoSpaceDN w:val="0"/>
        <w:adjustRightInd w:val="0"/>
        <w:spacing w:line="360" w:lineRule="auto"/>
        <w:contextualSpacing/>
        <w:jc w:val="both"/>
        <w:rPr>
          <w:rFonts w:ascii="Trebuchet MS" w:eastAsia="Calibri" w:hAnsi="Trebuchet MS" w:cs="Times New Roman"/>
          <w:color w:val="auto"/>
          <w:kern w:val="0"/>
          <w:sz w:val="22"/>
          <w:szCs w:val="22"/>
          <w:lang w:val="ro-RO" w:eastAsia="en-US" w:bidi="ar-SA"/>
        </w:rPr>
      </w:pPr>
    </w:p>
    <w:p w:rsidR="00EB62EA" w:rsidRPr="00EB62EA" w:rsidRDefault="00EB62EA" w:rsidP="00EB62EA">
      <w:pPr>
        <w:spacing w:line="360" w:lineRule="auto"/>
        <w:contextualSpacing/>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b/>
          <w:color w:val="auto"/>
          <w:kern w:val="0"/>
          <w:sz w:val="22"/>
          <w:szCs w:val="22"/>
          <w:lang w:val="ro-RO" w:eastAsia="en-US" w:bidi="ar-SA"/>
        </w:rPr>
        <w:t>10.</w:t>
      </w:r>
      <w:r w:rsidRPr="00EB62EA">
        <w:rPr>
          <w:rFonts w:ascii="Trebuchet MS" w:eastAsia="Calibri" w:hAnsi="Trebuchet MS" w:cs="Times New Roman"/>
          <w:color w:val="auto"/>
          <w:kern w:val="0"/>
          <w:sz w:val="22"/>
          <w:szCs w:val="22"/>
          <w:lang w:val="ro-RO" w:eastAsia="en-US" w:bidi="ar-SA"/>
        </w:rPr>
        <w:t xml:space="preserve"> </w:t>
      </w:r>
      <w:r w:rsidRPr="00EB62EA">
        <w:rPr>
          <w:rFonts w:ascii="Trebuchet MS" w:eastAsia="Calibri" w:hAnsi="Trebuchet MS" w:cs="Times New Roman"/>
          <w:b/>
          <w:color w:val="auto"/>
          <w:kern w:val="0"/>
          <w:sz w:val="22"/>
          <w:szCs w:val="22"/>
          <w:lang w:val="ro-RO" w:eastAsia="en-US" w:bidi="ar-SA"/>
        </w:rPr>
        <w:t>Indicatori de monitorizare</w:t>
      </w:r>
    </w:p>
    <w:p w:rsidR="00EB62EA" w:rsidRPr="00EB62EA" w:rsidRDefault="00EB62EA" w:rsidP="00EB62EA">
      <w:pPr>
        <w:widowControl w:val="0"/>
        <w:autoSpaceDE w:val="0"/>
        <w:autoSpaceDN w:val="0"/>
        <w:adjustRightInd w:val="0"/>
        <w:spacing w:after="160" w:line="360" w:lineRule="auto"/>
        <w:contextualSpacing/>
        <w:jc w:val="both"/>
        <w:rPr>
          <w:rFonts w:ascii="Trebuchet MS" w:eastAsia="Arial Unicode MS" w:hAnsi="Trebuchet MS" w:cs="Times New Roman"/>
          <w:color w:val="auto"/>
          <w:kern w:val="0"/>
          <w:sz w:val="22"/>
          <w:szCs w:val="22"/>
          <w:lang w:val="ro-RO" w:eastAsia="en-US" w:bidi="ar-SA"/>
        </w:rPr>
      </w:pPr>
      <w:r w:rsidRPr="00EB62EA">
        <w:rPr>
          <w:rFonts w:ascii="Trebuchet MS" w:eastAsia="Arial Unicode MS" w:hAnsi="Trebuchet MS" w:cs="Times New Roman"/>
          <w:color w:val="auto"/>
          <w:kern w:val="0"/>
          <w:sz w:val="22"/>
          <w:szCs w:val="22"/>
          <w:lang w:val="ro-RO" w:eastAsia="en-US" w:bidi="ar-SA"/>
        </w:rPr>
        <w:t>Populație netă care beneficiază de servicii/infrastructură îmbunătățită- - minim 80 de copii</w:t>
      </w:r>
      <w:r w:rsidRPr="00EB62EA" w:rsidDel="00294A2E">
        <w:rPr>
          <w:rFonts w:ascii="Trebuchet MS" w:eastAsia="Arial Unicode MS" w:hAnsi="Trebuchet MS" w:cs="Times New Roman"/>
          <w:color w:val="FF0000"/>
          <w:kern w:val="0"/>
          <w:sz w:val="22"/>
          <w:szCs w:val="22"/>
          <w:lang w:val="ro-RO" w:eastAsia="en-US" w:bidi="ar-SA"/>
        </w:rPr>
        <w:t xml:space="preserve"> </w:t>
      </w:r>
      <w:r w:rsidRPr="00EB62EA">
        <w:rPr>
          <w:rFonts w:ascii="Trebuchet MS" w:eastAsia="Arial Unicode MS" w:hAnsi="Trebuchet MS" w:cs="Times New Roman"/>
          <w:color w:val="FF0000"/>
          <w:kern w:val="0"/>
          <w:sz w:val="22"/>
          <w:szCs w:val="22"/>
          <w:lang w:val="ro-RO" w:eastAsia="en-US" w:bidi="ar-SA"/>
        </w:rPr>
        <w:t xml:space="preserve"> </w:t>
      </w:r>
      <w:r w:rsidRPr="00EB62EA">
        <w:rPr>
          <w:rFonts w:ascii="Trebuchet MS" w:eastAsia="Arial Unicode MS" w:hAnsi="Trebuchet MS" w:cs="Times New Roman"/>
          <w:color w:val="auto"/>
          <w:kern w:val="0"/>
          <w:sz w:val="22"/>
          <w:szCs w:val="22"/>
          <w:lang w:val="ro-RO" w:eastAsia="en-US" w:bidi="ar-SA"/>
        </w:rPr>
        <w:t xml:space="preserve">      </w:t>
      </w:r>
    </w:p>
    <w:p w:rsidR="00EB62EA" w:rsidRPr="00EB62EA" w:rsidRDefault="00EB62EA" w:rsidP="00EB62EA">
      <w:pPr>
        <w:spacing w:line="360" w:lineRule="auto"/>
        <w:contextualSpacing/>
        <w:jc w:val="both"/>
        <w:rPr>
          <w:rFonts w:ascii="Trebuchet MS" w:eastAsia="Arial Unicode MS" w:hAnsi="Trebuchet MS" w:cs="Times New Roman"/>
          <w:color w:val="auto"/>
          <w:kern w:val="0"/>
          <w:sz w:val="21"/>
          <w:szCs w:val="21"/>
          <w:lang w:val="ro-RO" w:eastAsia="en-US" w:bidi="ar-SA"/>
        </w:rPr>
      </w:pPr>
      <w:r w:rsidRPr="00EB62EA">
        <w:rPr>
          <w:rFonts w:ascii="Trebuchet MS" w:eastAsia="Arial Unicode MS" w:hAnsi="Trebuchet MS" w:cs="Times New Roman"/>
          <w:color w:val="auto"/>
          <w:kern w:val="0"/>
          <w:sz w:val="21"/>
          <w:szCs w:val="21"/>
          <w:lang w:val="ro-RO" w:eastAsia="en-US" w:bidi="ar-SA"/>
        </w:rPr>
        <w:t>Număr unități sociale înființate/modernizate-Sau Număr proiecte care prevăd acțiuni inovative – minim 2</w:t>
      </w:r>
    </w:p>
    <w:p w:rsidR="00EB62EA" w:rsidRPr="00EB62EA" w:rsidRDefault="00EB62EA" w:rsidP="00EB62EA">
      <w:pPr>
        <w:spacing w:line="360" w:lineRule="auto"/>
        <w:contextualSpacing/>
        <w:jc w:val="both"/>
        <w:rPr>
          <w:rFonts w:ascii="Trebuchet MS" w:eastAsia="Arial Unicode MS" w:hAnsi="Trebuchet MS" w:cs="Times New Roman"/>
          <w:color w:val="auto"/>
          <w:kern w:val="0"/>
          <w:sz w:val="22"/>
          <w:szCs w:val="22"/>
          <w:lang w:val="ro-RO" w:eastAsia="en-US" w:bidi="ar-SA"/>
        </w:rPr>
      </w:pPr>
      <w:bookmarkStart w:id="0" w:name="_GoBack"/>
      <w:bookmarkEnd w:id="0"/>
    </w:p>
    <w:p w:rsidR="00EB62EA" w:rsidRPr="00EB62EA" w:rsidRDefault="00EB62EA" w:rsidP="00EB62EA">
      <w:pPr>
        <w:spacing w:line="360" w:lineRule="auto"/>
        <w:contextualSpacing/>
        <w:jc w:val="both"/>
        <w:rPr>
          <w:rFonts w:ascii="Trebuchet MS" w:eastAsia="Arial Unicode MS" w:hAnsi="Trebuchet MS" w:cs="Times New Roman"/>
          <w:color w:val="auto"/>
          <w:kern w:val="0"/>
          <w:sz w:val="22"/>
          <w:szCs w:val="22"/>
          <w:lang w:val="ro-RO" w:eastAsia="en-US" w:bidi="ar-SA"/>
        </w:rPr>
      </w:pPr>
      <w:r w:rsidRPr="00EB62EA">
        <w:rPr>
          <w:rFonts w:ascii="Trebuchet MS" w:eastAsia="Arial Unicode MS" w:hAnsi="Trebuchet MS" w:cs="Times New Roman"/>
          <w:color w:val="auto"/>
          <w:kern w:val="0"/>
          <w:sz w:val="22"/>
          <w:szCs w:val="22"/>
          <w:lang w:val="ro-RO" w:eastAsia="en-US" w:bidi="ar-SA"/>
        </w:rPr>
        <w:t>Indicator de monitorizare suplimentar:</w:t>
      </w:r>
    </w:p>
    <w:p w:rsidR="00EB62EA" w:rsidRPr="00EB62EA" w:rsidRDefault="00EB62EA" w:rsidP="00EB62EA">
      <w:pPr>
        <w:spacing w:line="276" w:lineRule="auto"/>
        <w:jc w:val="both"/>
        <w:rPr>
          <w:rFonts w:ascii="Trebuchet MS" w:eastAsia="Arial Unicode MS" w:hAnsi="Trebuchet MS" w:cs="Times New Roman"/>
          <w:color w:val="auto"/>
          <w:kern w:val="0"/>
          <w:sz w:val="22"/>
          <w:szCs w:val="22"/>
          <w:lang w:val="ro-RO" w:eastAsia="en-US" w:bidi="ar-SA"/>
        </w:rPr>
      </w:pPr>
      <w:r w:rsidRPr="00EB62EA">
        <w:rPr>
          <w:rFonts w:ascii="Trebuchet MS" w:eastAsia="Arial Unicode MS" w:hAnsi="Trebuchet MS" w:cs="Times New Roman"/>
          <w:color w:val="auto"/>
          <w:kern w:val="0"/>
          <w:sz w:val="22"/>
          <w:szCs w:val="22"/>
          <w:lang w:val="ro-RO" w:eastAsia="en-US" w:bidi="ar-SA"/>
        </w:rPr>
        <w:t>Cheltuiala publică totală – 149.577,29 euro</w:t>
      </w:r>
    </w:p>
    <w:p w:rsidR="00AB452C" w:rsidRDefault="00AB452C" w:rsidP="00EB62EA">
      <w:pPr>
        <w:pStyle w:val="BodyText"/>
        <w:spacing w:line="240" w:lineRule="auto"/>
      </w:pPr>
    </w:p>
    <w:sectPr w:rsidR="00AB452C">
      <w:headerReference w:type="default" r:id="rId8"/>
      <w:pgSz w:w="11906" w:h="16838"/>
      <w:pgMar w:top="1693" w:right="1134" w:bottom="1134" w:left="1134" w:header="1134" w:footer="0" w:gutter="0"/>
      <w:cols w:space="720"/>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895" w:rsidRDefault="00405895">
      <w:r>
        <w:separator/>
      </w:r>
    </w:p>
  </w:endnote>
  <w:endnote w:type="continuationSeparator" w:id="0">
    <w:p w:rsidR="00405895" w:rsidRDefault="0040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895" w:rsidRDefault="00405895">
      <w:r>
        <w:separator/>
      </w:r>
    </w:p>
  </w:footnote>
  <w:footnote w:type="continuationSeparator" w:id="0">
    <w:p w:rsidR="00405895" w:rsidRDefault="00405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52C" w:rsidRDefault="00405895">
    <w:pPr>
      <w:pStyle w:val="Header"/>
    </w:pPr>
    <w:r>
      <w:rPr>
        <w:noProof/>
        <w:lang w:eastAsia="en-US" w:bidi="ar-SA"/>
      </w:rPr>
      <w:drawing>
        <wp:anchor distT="0" distB="0" distL="0" distR="0" simplePos="0" relativeHeight="7" behindDoc="1" locked="0" layoutInCell="1" allowOverlap="1">
          <wp:simplePos x="0" y="0"/>
          <wp:positionH relativeFrom="column">
            <wp:align>center</wp:align>
          </wp:positionH>
          <wp:positionV relativeFrom="paragraph">
            <wp:posOffset>635</wp:posOffset>
          </wp:positionV>
          <wp:extent cx="6120130" cy="90551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6120130" cy="9055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B3770"/>
    <w:multiLevelType w:val="multilevel"/>
    <w:tmpl w:val="286AF4D6"/>
    <w:lvl w:ilvl="0">
      <w:start w:val="1"/>
      <w:numFmt w:val="bullet"/>
      <w:lvlText w:val=""/>
      <w:lvlJc w:val="left"/>
      <w:pPr>
        <w:tabs>
          <w:tab w:val="num" w:pos="720"/>
        </w:tabs>
        <w:ind w:left="720" w:hanging="360"/>
      </w:pPr>
      <w:rPr>
        <w:rFonts w:ascii="Wingdings" w:hAnsi="Wingdings" w:cs="OpenSymbol" w:hint="default"/>
        <w:sz w:val="24"/>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
    <w:nsid w:val="30706A73"/>
    <w:multiLevelType w:val="hybridMultilevel"/>
    <w:tmpl w:val="067AB42E"/>
    <w:lvl w:ilvl="0" w:tplc="199840BE">
      <w:start w:val="10"/>
      <w:numFmt w:val="bullet"/>
      <w:lvlText w:val="-"/>
      <w:lvlJc w:val="left"/>
      <w:pPr>
        <w:ind w:left="720" w:hanging="360"/>
      </w:pPr>
      <w:rPr>
        <w:rFonts w:ascii="Trebuchet MS" w:eastAsia="Calibri"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127617E"/>
    <w:multiLevelType w:val="multilevel"/>
    <w:tmpl w:val="B4C80F00"/>
    <w:lvl w:ilvl="0">
      <w:start w:val="1"/>
      <w:numFmt w:val="bullet"/>
      <w:lvlText w:val=""/>
      <w:lvlJc w:val="left"/>
      <w:pPr>
        <w:tabs>
          <w:tab w:val="num" w:pos="720"/>
        </w:tabs>
        <w:ind w:left="720" w:hanging="360"/>
      </w:pPr>
      <w:rPr>
        <w:rFonts w:ascii="Wingdings" w:hAnsi="Wingdings" w:cs="OpenSymbol" w:hint="default"/>
        <w:sz w:val="24"/>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
    <w:nsid w:val="453E206F"/>
    <w:multiLevelType w:val="hybridMultilevel"/>
    <w:tmpl w:val="CBAAC1C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DA87480"/>
    <w:multiLevelType w:val="hybridMultilevel"/>
    <w:tmpl w:val="1834E510"/>
    <w:lvl w:ilvl="0" w:tplc="199840BE">
      <w:start w:val="10"/>
      <w:numFmt w:val="bullet"/>
      <w:lvlText w:val="-"/>
      <w:lvlJc w:val="left"/>
      <w:pPr>
        <w:ind w:left="927" w:hanging="360"/>
      </w:pPr>
      <w:rPr>
        <w:rFonts w:ascii="Trebuchet MS" w:eastAsia="Calibri" w:hAnsi="Trebuchet MS"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5">
    <w:nsid w:val="60D338A9"/>
    <w:multiLevelType w:val="multilevel"/>
    <w:tmpl w:val="DAF6AC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63F45808"/>
    <w:multiLevelType w:val="hybridMultilevel"/>
    <w:tmpl w:val="D750B3DC"/>
    <w:lvl w:ilvl="0" w:tplc="199840BE">
      <w:start w:val="10"/>
      <w:numFmt w:val="bullet"/>
      <w:lvlText w:val="-"/>
      <w:lvlJc w:val="left"/>
      <w:pPr>
        <w:ind w:left="927" w:hanging="360"/>
      </w:pPr>
      <w:rPr>
        <w:rFonts w:ascii="Trebuchet MS" w:eastAsia="Calibri"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2D76DDA"/>
    <w:multiLevelType w:val="hybridMultilevel"/>
    <w:tmpl w:val="2BB07A02"/>
    <w:lvl w:ilvl="0" w:tplc="199840BE">
      <w:start w:val="10"/>
      <w:numFmt w:val="bullet"/>
      <w:lvlText w:val="-"/>
      <w:lvlJc w:val="left"/>
      <w:pPr>
        <w:ind w:left="720" w:hanging="360"/>
      </w:pPr>
      <w:rPr>
        <w:rFonts w:ascii="Trebuchet MS" w:eastAsia="Calibri"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B452C"/>
    <w:rsid w:val="003E51DA"/>
    <w:rsid w:val="00405895"/>
    <w:rsid w:val="008E3416"/>
    <w:rsid w:val="008F224A"/>
    <w:rsid w:val="00AB452C"/>
    <w:rsid w:val="00B2201D"/>
    <w:rsid w:val="00EB62E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ascii="Times New Roman" w:hAnsi="Times New Roman" w:cs="OpenSymbol"/>
      <w:sz w:val="24"/>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Times New Roman" w:hAnsi="Times New Roman" w:cs="OpenSymbol"/>
      <w:sz w:val="24"/>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Times New Roman" w:hAnsi="Times New Roman" w:cs="OpenSymbol"/>
      <w:sz w:val="24"/>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ascii="Times New Roman" w:hAnsi="Times New Roman" w:cs="OpenSymbol"/>
      <w:sz w:val="24"/>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ascii="Times New Roman" w:hAnsi="Times New Roman" w:cs="OpenSymbol"/>
      <w:sz w:val="24"/>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ascii="Times New Roman" w:hAnsi="Times New Roman" w:cs="OpenSymbol"/>
      <w:sz w:val="24"/>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Marius</cp:lastModifiedBy>
  <cp:revision>40</cp:revision>
  <dcterms:created xsi:type="dcterms:W3CDTF">2018-01-10T12:30:00Z</dcterms:created>
  <dcterms:modified xsi:type="dcterms:W3CDTF">2018-03-06T07:26:00Z</dcterms:modified>
  <dc:language>ro-MD</dc:language>
</cp:coreProperties>
</file>